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g" ContentType="image/jpg"/>
  <Override PartName="/word/footer1.xml" ContentType="application/vnd.openxmlformats-officedocument.wordprocessingml.footer+xml"/>
  <Override PartName="/word/header2.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spacing w:before="1" w:after="0" w:line="190" w:lineRule="exact"/>
        <w:jc w:val="left"/>
        <w:rPr>
          <w:sz w:val="19"/>
          <w:szCs w:val="19"/>
        </w:rPr>
      </w:pPr>
      <w:r>
        <w:rPr>
          <w:sz w:val="19"/>
          <w:szCs w:val="19"/>
        </w:rPr>
      </w:r>
    </w:p>
    <w:p>
      <w:pPr>
        <w:spacing w:line="190" w:lineRule="exact" w:after="0"/>
        <w:jc w:val="left"/>
        <w:rPr>
          <w:sz w:val="19"/>
          <w:szCs w:val="19"/>
        </w:rPr>
        <w:sectPr>
          <w:headerReference w:type="default" r:id="rId5"/>
          <w:footerReference w:type="default" r:id="rId6"/>
          <w:type w:val="continuous"/>
          <w:pgSz w:w="11900" w:h="16820"/>
          <w:pgMar w:header="299" w:footer="1582" w:top="1040" w:bottom="1780" w:left="620" w:right="540"/>
          <w:pgNumType w:start="1"/>
        </w:sectPr>
      </w:pPr>
    </w:p>
    <w:p>
      <w:pPr>
        <w:spacing w:before="0" w:after="0" w:line="299"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产品概述</w:t>
      </w:r>
    </w:p>
    <w:p>
      <w:pPr>
        <w:spacing w:before="7" w:after="0" w:line="185" w:lineRule="auto"/>
        <w:ind w:right="2402"/>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常温型</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一种耐磨、表面容忍型、两罐装、环氧底漆/面漆，单道涂层即可提供防腐保护性能。</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尚有低温型</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可用在温度低至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-5°C时。</w:t>
      </w:r>
      <w:r>
        <w:rPr>
          <w:rFonts w:ascii="Arial Unicode MS" w:hAnsi="Arial Unicode MS" w:cs="Arial Unicode MS" w:eastAsia="Arial Unicode MS"/>
          <w:spacing w:val="0"/>
          <w:w w:val="100"/>
          <w:sz w:val="16"/>
          <w:szCs w:val="16"/>
        </w:rPr>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018" w:space="1294"/>
            <w:col w:w="8428"/>
          </w:cols>
        </w:sectPr>
      </w:pPr>
    </w:p>
    <w:p>
      <w:pPr>
        <w:spacing w:before="9" w:after="0" w:line="180" w:lineRule="exact"/>
        <w:jc w:val="left"/>
        <w:rPr>
          <w:sz w:val="18"/>
          <w:szCs w:val="18"/>
        </w:rPr>
      </w:pPr>
      <w:r>
        <w:rPr>
          <w:sz w:val="18"/>
          <w:szCs w:val="18"/>
        </w:rPr>
      </w:r>
    </w:p>
    <w:p>
      <w:pPr>
        <w:spacing w:line="180" w:lineRule="exact" w:after="0"/>
        <w:jc w:val="left"/>
        <w:rPr>
          <w:sz w:val="18"/>
          <w:szCs w:val="18"/>
        </w:rPr>
        <w:sectPr>
          <w:type w:val="continuous"/>
          <w:pgSz w:w="11900" w:h="16820"/>
          <w:pgMar w:top="1040" w:bottom="1780" w:left="620" w:right="540"/>
        </w:sectPr>
      </w:pPr>
    </w:p>
    <w:p>
      <w:pPr>
        <w:spacing w:before="0" w:after="0" w:line="299" w:lineRule="exact"/>
        <w:ind w:left="137" w:right="-73"/>
        <w:jc w:val="left"/>
        <w:rPr>
          <w:rFonts w:ascii="Arial Unicode MS" w:hAnsi="Arial Unicode MS" w:cs="Arial Unicode MS" w:eastAsia="Arial Unicode MS"/>
          <w:sz w:val="22"/>
          <w:szCs w:val="22"/>
        </w:rPr>
      </w:pPr>
      <w:r>
        <w:rPr/>
        <w:pict>
          <v:group style="position:absolute;margin-left:145.850006pt;margin-top:-3.758176pt;width:414pt;height:.1pt;mso-position-horizontal-relative:page;mso-position-vertical-relative:paragraph;z-index:-504" coordorigin="2917,-75" coordsize="8280,2">
            <v:shape style="position:absolute;left:2917;top:-75;width:8280;height:2" coordorigin="2917,-75" coordsize="8280,0" path="m2917,-75l11197,-75e" filled="f" stroked="t" strokeweight="1.5pt" strokecolor="#000000">
              <v:path arrowok="t"/>
            </v:shape>
            <w10:wrap type="none"/>
          </v:group>
        </w:pict>
      </w:r>
      <w:r>
        <w:rPr>
          <w:rFonts w:ascii="Arial Unicode MS" w:hAnsi="Arial Unicode MS" w:cs="Arial Unicode MS" w:eastAsia="Arial Unicode MS"/>
          <w:spacing w:val="0"/>
          <w:w w:val="100"/>
          <w:sz w:val="22"/>
          <w:szCs w:val="22"/>
        </w:rPr>
        <w:t>预期用途</w:t>
      </w:r>
    </w:p>
    <w:p>
      <w:pPr>
        <w:spacing w:before="7" w:after="0" w:line="185" w:lineRule="auto"/>
        <w:ind w:right="4817"/>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一种防锈底漆/面漆，用于甲板、甲板设备和货舱。</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用于维修和保养或在航保养。</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018" w:space="1279"/>
            <w:col w:w="8443"/>
          </w:cols>
        </w:sectPr>
      </w:pPr>
    </w:p>
    <w:p>
      <w:pPr>
        <w:spacing w:before="12" w:after="0" w:line="220" w:lineRule="exact"/>
        <w:jc w:val="left"/>
        <w:rPr>
          <w:sz w:val="22"/>
          <w:szCs w:val="22"/>
        </w:rPr>
      </w:pPr>
      <w:r>
        <w:rPr>
          <w:sz w:val="22"/>
          <w:szCs w:val="22"/>
        </w:rPr>
      </w:r>
    </w:p>
    <w:p>
      <w:pPr>
        <w:spacing w:line="220" w:lineRule="exact" w:after="0"/>
        <w:jc w:val="left"/>
        <w:rPr>
          <w:sz w:val="22"/>
          <w:szCs w:val="22"/>
        </w:rPr>
        <w:sectPr>
          <w:type w:val="continuous"/>
          <w:pgSz w:w="11900" w:h="16820"/>
          <w:pgMar w:top="1040" w:bottom="1780" w:left="620" w:right="540"/>
        </w:sectPr>
      </w:pPr>
    </w:p>
    <w:p>
      <w:pPr>
        <w:tabs>
          <w:tab w:pos="2280" w:val="left"/>
        </w:tabs>
        <w:spacing w:before="0" w:after="0" w:line="284" w:lineRule="exact"/>
        <w:ind w:left="137" w:right="-73"/>
        <w:jc w:val="left"/>
        <w:rPr>
          <w:rFonts w:ascii="Arial Unicode MS" w:hAnsi="Arial Unicode MS" w:cs="Arial Unicode MS" w:eastAsia="Arial Unicode MS"/>
          <w:sz w:val="22"/>
          <w:szCs w:val="22"/>
        </w:rPr>
      </w:pPr>
      <w:r>
        <w:rPr/>
        <w:pict>
          <v:group style="position:absolute;margin-left:145.850006pt;margin-top:-3.755776pt;width:414pt;height:.1pt;mso-position-horizontal-relative:page;mso-position-vertical-relative:paragraph;z-index:-503" coordorigin="2917,-75" coordsize="8280,2">
            <v:shape style="position:absolute;left:2917;top:-75;width:8280;height:2" coordorigin="2917,-75" coordsize="8280,0" path="m2917,-75l11197,-75e" filled="f" stroked="t" strokeweight="1.5pt" strokecolor="#000000">
              <v:path arrowok="t"/>
            </v:shape>
            <w10:wrap type="none"/>
          </v:group>
        </w:pict>
      </w:r>
      <w:r>
        <w:rPr>
          <w:rFonts w:ascii="Arial Unicode MS" w:hAnsi="Arial Unicode MS" w:cs="Arial Unicode MS" w:eastAsia="Arial Unicode MS"/>
          <w:spacing w:val="0"/>
          <w:w w:val="100"/>
          <w:position w:val="0"/>
          <w:sz w:val="22"/>
          <w:szCs w:val="22"/>
        </w:rPr>
        <w:t>产品信息</w:t>
        <w:tab/>
      </w:r>
      <w:r>
        <w:rPr>
          <w:rFonts w:ascii="Arial Unicode MS" w:hAnsi="Arial Unicode MS" w:cs="Arial Unicode MS" w:eastAsia="Arial Unicode MS"/>
          <w:spacing w:val="0"/>
          <w:w w:val="100"/>
          <w:position w:val="0"/>
          <w:sz w:val="22"/>
          <w:szCs w:val="22"/>
        </w:rPr>
        <w:t>颜色</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KDL549-标志绿,</w:t>
      </w:r>
      <w:r>
        <w:rPr>
          <w:rFonts w:ascii="Arial Unicode MS" w:hAnsi="Arial Unicode MS" w:cs="Arial Unicode MS" w:eastAsia="Arial Unicode MS"/>
          <w:spacing w:val="-12"/>
          <w:w w:val="100"/>
          <w:sz w:val="16"/>
          <w:szCs w:val="16"/>
        </w:rPr>
        <w:t> </w:t>
      </w:r>
      <w:r>
        <w:rPr>
          <w:rFonts w:ascii="Arial Unicode MS" w:hAnsi="Arial Unicode MS" w:cs="Arial Unicode MS" w:eastAsia="Arial Unicode MS"/>
          <w:spacing w:val="0"/>
          <w:w w:val="100"/>
          <w:sz w:val="16"/>
          <w:szCs w:val="16"/>
        </w:rPr>
        <w:t>KDL274-红色,</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KDK724-风暴灰,</w:t>
      </w:r>
      <w:r>
        <w:rPr>
          <w:rFonts w:ascii="Arial Unicode MS" w:hAnsi="Arial Unicode MS" w:cs="Arial Unicode MS" w:eastAsia="Arial Unicode MS"/>
          <w:spacing w:val="-12"/>
          <w:w w:val="100"/>
          <w:sz w:val="16"/>
          <w:szCs w:val="16"/>
        </w:rPr>
        <w:t> </w:t>
      </w:r>
      <w:r>
        <w:rPr>
          <w:rFonts w:ascii="Arial Unicode MS" w:hAnsi="Arial Unicode MS" w:cs="Arial Unicode MS" w:eastAsia="Arial Unicode MS"/>
          <w:spacing w:val="0"/>
          <w:w w:val="100"/>
          <w:sz w:val="16"/>
          <w:szCs w:val="16"/>
        </w:rPr>
        <w:t>KDF684-浪花灰</w:t>
      </w:r>
      <w:r>
        <w:rPr>
          <w:rFonts w:ascii="Arial Unicode MS" w:hAnsi="Arial Unicode MS" w:cs="Arial Unicode MS" w:eastAsia="Arial Unicode MS"/>
          <w:spacing w:val="0"/>
          <w:w w:val="100"/>
          <w:sz w:val="16"/>
          <w:szCs w:val="16"/>
        </w:rPr>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2738" w:space="1935"/>
            <w:col w:w="6067"/>
          </w:cols>
        </w:sectPr>
      </w:pPr>
    </w:p>
    <w:p>
      <w:pPr>
        <w:tabs>
          <w:tab w:pos="4660" w:val="left"/>
        </w:tabs>
        <w:spacing w:before="33" w:after="0" w:line="240" w:lineRule="auto"/>
        <w:ind w:left="2304"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面漆/光泽</w:t>
      </w:r>
      <w:r>
        <w:rPr>
          <w:rFonts w:ascii="Arial Unicode MS" w:hAnsi="Arial Unicode MS" w:cs="Arial Unicode MS" w:eastAsia="Arial Unicode MS"/>
          <w:spacing w:val="0"/>
          <w:w w:val="100"/>
          <w:sz w:val="22"/>
          <w:szCs w:val="22"/>
        </w:rPr>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半光</w:t>
      </w:r>
      <w:r>
        <w:rPr>
          <w:rFonts w:ascii="Arial Unicode MS" w:hAnsi="Arial Unicode MS" w:cs="Arial Unicode MS" w:eastAsia="Arial Unicode MS"/>
          <w:spacing w:val="0"/>
          <w:w w:val="100"/>
          <w:position w:val="0"/>
          <w:sz w:val="16"/>
          <w:szCs w:val="16"/>
        </w:rPr>
      </w:r>
    </w:p>
    <w:p>
      <w:pPr>
        <w:tabs>
          <w:tab w:pos="4660" w:val="left"/>
        </w:tabs>
        <w:spacing w:before="0" w:after="0" w:line="349"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2"/>
          <w:sz w:val="22"/>
          <w:szCs w:val="22"/>
        </w:rPr>
        <w:t>乙组份（固化剂）</w:t>
        <w:tab/>
      </w:r>
      <w:r>
        <w:rPr>
          <w:rFonts w:ascii="Arial Unicode MS" w:hAnsi="Arial Unicode MS" w:cs="Arial Unicode MS" w:eastAsia="Arial Unicode MS"/>
          <w:spacing w:val="0"/>
          <w:w w:val="100"/>
          <w:position w:val="-2"/>
          <w:sz w:val="22"/>
          <w:szCs w:val="22"/>
        </w:rPr>
      </w:r>
      <w:r>
        <w:rPr>
          <w:rFonts w:ascii="Arial Unicode MS" w:hAnsi="Arial Unicode MS" w:cs="Arial Unicode MS" w:eastAsia="Arial Unicode MS"/>
          <w:spacing w:val="0"/>
          <w:w w:val="100"/>
          <w:position w:val="3"/>
          <w:sz w:val="16"/>
          <w:szCs w:val="16"/>
        </w:rPr>
        <w:t>KDA100</w:t>
      </w:r>
      <w:r>
        <w:rPr>
          <w:rFonts w:ascii="Arial Unicode MS" w:hAnsi="Arial Unicode MS" w:cs="Arial Unicode MS" w:eastAsia="Arial Unicode MS"/>
          <w:spacing w:val="-6"/>
          <w:w w:val="100"/>
          <w:position w:val="3"/>
          <w:sz w:val="16"/>
          <w:szCs w:val="16"/>
        </w:rPr>
        <w:t> </w:t>
      </w:r>
      <w:r>
        <w:rPr>
          <w:rFonts w:ascii="Arial Unicode MS" w:hAnsi="Arial Unicode MS" w:cs="Arial Unicode MS" w:eastAsia="Arial Unicode MS"/>
          <w:spacing w:val="0"/>
          <w:w w:val="100"/>
          <w:position w:val="3"/>
          <w:sz w:val="16"/>
          <w:szCs w:val="16"/>
        </w:rPr>
        <w:t>(常温)</w:t>
      </w:r>
      <w:r>
        <w:rPr>
          <w:rFonts w:ascii="Arial Unicode MS" w:hAnsi="Arial Unicode MS" w:cs="Arial Unicode MS" w:eastAsia="Arial Unicode MS"/>
          <w:spacing w:val="0"/>
          <w:w w:val="100"/>
          <w:position w:val="0"/>
          <w:sz w:val="16"/>
          <w:szCs w:val="16"/>
        </w:rPr>
      </w:r>
    </w:p>
    <w:p>
      <w:pPr>
        <w:spacing w:line="349" w:lineRule="exact" w:after="0"/>
        <w:jc w:val="left"/>
        <w:rPr>
          <w:rFonts w:ascii="Arial Unicode MS" w:hAnsi="Arial Unicode MS" w:cs="Arial Unicode MS" w:eastAsia="Arial Unicode MS"/>
          <w:sz w:val="16"/>
          <w:szCs w:val="16"/>
        </w:rPr>
        <w:sectPr>
          <w:type w:val="continuous"/>
          <w:pgSz w:w="11900" w:h="16820"/>
          <w:pgMar w:top="1040" w:bottom="1780" w:left="620" w:right="540"/>
        </w:sectPr>
      </w:pPr>
    </w:p>
    <w:p>
      <w:pPr>
        <w:spacing w:before="0" w:after="0" w:line="366" w:lineRule="exact"/>
        <w:ind w:right="-20"/>
        <w:jc w:val="righ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2"/>
          <w:sz w:val="22"/>
          <w:szCs w:val="22"/>
        </w:rPr>
        <w:t>体积固体份</w:t>
      </w:r>
      <w:r>
        <w:rPr>
          <w:rFonts w:ascii="Arial Unicode MS" w:hAnsi="Arial Unicode MS" w:cs="Arial Unicode MS" w:eastAsia="Arial Unicode MS"/>
          <w:spacing w:val="0"/>
          <w:w w:val="100"/>
          <w:position w:val="0"/>
          <w:sz w:val="22"/>
          <w:szCs w:val="22"/>
        </w:rPr>
      </w:r>
    </w:p>
    <w:p>
      <w:pPr>
        <w:spacing w:before="39"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74％±2%</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3233:1998)</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3398" w:space="1275"/>
            <w:col w:w="6067"/>
          </w:cols>
        </w:sectPr>
      </w:pPr>
    </w:p>
    <w:p>
      <w:pPr>
        <w:spacing w:before="6" w:after="0" w:line="160" w:lineRule="exact"/>
        <w:jc w:val="left"/>
        <w:rPr>
          <w:sz w:val="16"/>
          <w:szCs w:val="16"/>
        </w:rPr>
      </w:pPr>
      <w:r>
        <w:rPr>
          <w:sz w:val="16"/>
          <w:szCs w:val="16"/>
        </w:rPr>
      </w:r>
    </w:p>
    <w:p>
      <w:pPr>
        <w:tabs>
          <w:tab w:pos="4660" w:val="left"/>
        </w:tabs>
        <w:spacing w:before="0" w:after="0" w:line="28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22"/>
          <w:szCs w:val="22"/>
        </w:rPr>
        <w:t>混合比例</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甲组份：乙组份=4.00：1</w:t>
      </w:r>
      <w:r>
        <w:rPr>
          <w:rFonts w:ascii="Arial Unicode MS" w:hAnsi="Arial Unicode MS" w:cs="Arial Unicode MS" w:eastAsia="Arial Unicode MS"/>
          <w:spacing w:val="-18"/>
          <w:w w:val="100"/>
          <w:position w:val="4"/>
          <w:sz w:val="16"/>
          <w:szCs w:val="16"/>
        </w:rPr>
        <w:t> </w:t>
      </w:r>
      <w:r>
        <w:rPr>
          <w:rFonts w:ascii="Arial Unicode MS" w:hAnsi="Arial Unicode MS" w:cs="Arial Unicode MS" w:eastAsia="Arial Unicode MS"/>
          <w:spacing w:val="0"/>
          <w:w w:val="100"/>
          <w:position w:val="4"/>
          <w:sz w:val="16"/>
          <w:szCs w:val="16"/>
        </w:rPr>
        <w:t>(体积比)</w:t>
      </w:r>
      <w:r>
        <w:rPr>
          <w:rFonts w:ascii="Arial Unicode MS" w:hAnsi="Arial Unicode MS" w:cs="Arial Unicode MS" w:eastAsia="Arial Unicode MS"/>
          <w:spacing w:val="0"/>
          <w:w w:val="100"/>
          <w:position w:val="0"/>
          <w:sz w:val="16"/>
          <w:szCs w:val="16"/>
        </w:rPr>
      </w:r>
    </w:p>
    <w:p>
      <w:pPr>
        <w:spacing w:line="284" w:lineRule="exact" w:after="0"/>
        <w:jc w:val="left"/>
        <w:rPr>
          <w:rFonts w:ascii="Arial Unicode MS" w:hAnsi="Arial Unicode MS" w:cs="Arial Unicode MS" w:eastAsia="Arial Unicode MS"/>
          <w:sz w:val="16"/>
          <w:szCs w:val="16"/>
        </w:rPr>
        <w:sectPr>
          <w:type w:val="continuous"/>
          <w:pgSz w:w="11900" w:h="16820"/>
          <w:pgMar w:top="1040" w:bottom="1780" w:left="620" w:right="540"/>
        </w:sectPr>
      </w:pPr>
    </w:p>
    <w:p>
      <w:pPr>
        <w:spacing w:before="65" w:after="0" w:line="230" w:lineRule="auto"/>
        <w:ind w:left="2291"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标准膜厚</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理论涂布率</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施工方法</w:t>
      </w:r>
    </w:p>
    <w:p>
      <w:pPr>
        <w:spacing w:before="89"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150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(203</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微米湿膜厚)</w:t>
      </w:r>
    </w:p>
    <w:p>
      <w:pPr>
        <w:spacing w:before="24" w:after="0" w:line="370" w:lineRule="exact"/>
        <w:ind w:right="993"/>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150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微米干膜厚时理论涂布率为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4.93</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米²/公升，允许适当的损耗系数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无气喷涂,</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刷涂,</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漆辊</w:t>
      </w:r>
    </w:p>
    <w:p>
      <w:pPr>
        <w:spacing w:line="370"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3392" w:space="1281"/>
            <w:col w:w="6067"/>
          </w:cols>
        </w:sectPr>
      </w:pPr>
    </w:p>
    <w:p>
      <w:pPr>
        <w:tabs>
          <w:tab w:pos="4660" w:val="left"/>
        </w:tabs>
        <w:spacing w:before="60" w:after="0" w:line="172" w:lineRule="auto"/>
        <w:ind w:left="4672" w:right="615" w:hanging="238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闪点</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甲组份</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28°C;乙组份</w:t>
      </w:r>
      <w:r>
        <w:rPr>
          <w:rFonts w:ascii="Arial Unicode MS" w:hAnsi="Arial Unicode MS" w:cs="Arial Unicode MS" w:eastAsia="Arial Unicode MS"/>
          <w:spacing w:val="-9"/>
          <w:w w:val="100"/>
          <w:position w:val="0"/>
          <w:sz w:val="16"/>
          <w:szCs w:val="16"/>
        </w:rPr>
        <w:t> </w:t>
      </w:r>
      <w:r>
        <w:rPr>
          <w:rFonts w:ascii="Arial Unicode MS" w:hAnsi="Arial Unicode MS" w:cs="Arial Unicode MS" w:eastAsia="Arial Unicode MS"/>
          <w:spacing w:val="0"/>
          <w:w w:val="100"/>
          <w:position w:val="0"/>
          <w:sz w:val="16"/>
          <w:szCs w:val="16"/>
        </w:rPr>
        <w:t>34°C;混合后</w:t>
      </w:r>
      <w:r>
        <w:rPr>
          <w:rFonts w:ascii="Arial Unicode MS" w:hAnsi="Arial Unicode MS" w:cs="Arial Unicode MS" w:eastAsia="Arial Unicode MS"/>
          <w:spacing w:val="-9"/>
          <w:w w:val="100"/>
          <w:position w:val="0"/>
          <w:sz w:val="16"/>
          <w:szCs w:val="16"/>
        </w:rPr>
        <w:t> </w:t>
      </w:r>
      <w:r>
        <w:rPr>
          <w:rFonts w:ascii="Arial Unicode MS" w:hAnsi="Arial Unicode MS" w:cs="Arial Unicode MS" w:eastAsia="Arial Unicode MS"/>
          <w:spacing w:val="0"/>
          <w:w w:val="100"/>
          <w:position w:val="0"/>
          <w:sz w:val="16"/>
          <w:szCs w:val="16"/>
        </w:rPr>
        <w:t>29°C</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(在北美生产和供应的产品，由于采用</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当地溶剂，其闪点分别为甲组份</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43°C、</w:t>
      </w:r>
      <w:r>
        <w:rPr>
          <w:rFonts w:ascii="Arial Unicode MS" w:hAnsi="Arial Unicode MS" w:cs="Arial Unicode MS" w:eastAsia="Arial Unicode MS"/>
          <w:spacing w:val="-5"/>
          <w:w w:val="100"/>
          <w:position w:val="0"/>
          <w:sz w:val="16"/>
          <w:szCs w:val="16"/>
        </w:rPr>
        <w:t> </w:t>
      </w:r>
      <w:r>
        <w:rPr>
          <w:rFonts w:ascii="Arial Unicode MS" w:hAnsi="Arial Unicode MS" w:cs="Arial Unicode MS" w:eastAsia="Arial Unicode MS"/>
          <w:spacing w:val="0"/>
          <w:w w:val="100"/>
          <w:position w:val="0"/>
          <w:sz w:val="16"/>
          <w:szCs w:val="16"/>
        </w:rPr>
        <w:t>乙组份</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39°C</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以及混合后</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39°C。对</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产品性能没有不利影响)。</w:t>
      </w:r>
    </w:p>
    <w:p>
      <w:pPr>
        <w:tabs>
          <w:tab w:pos="4660" w:val="left"/>
        </w:tabs>
        <w:spacing w:before="0" w:after="0" w:line="368" w:lineRule="exact"/>
        <w:ind w:left="2291" w:right="-20"/>
        <w:jc w:val="left"/>
        <w:rPr>
          <w:rFonts w:ascii="Arial Unicode MS" w:hAnsi="Arial Unicode MS" w:cs="Arial Unicode MS" w:eastAsia="Arial Unicode MS"/>
          <w:sz w:val="16"/>
          <w:szCs w:val="16"/>
        </w:rPr>
      </w:pPr>
      <w:r>
        <w:rPr/>
        <w:pict>
          <v:group style="position:absolute;margin-left:145.570007pt;margin-top:31.307039pt;width:414.0pt;height:.1pt;mso-position-horizontal-relative:page;mso-position-vertical-relative:paragraph;z-index:-501" coordorigin="2911,626" coordsize="8280,2">
            <v:shape style="position:absolute;left:2911;top:626;width:8280;height:2" coordorigin="2911,626" coordsize="8280,0" path="m2911,626l11191,626e" filled="f" stroked="t" strokeweight="1.5pt" strokecolor="#000000">
              <v:path arrowok="t"/>
            </v:shape>
            <w10:wrap type="none"/>
          </v:group>
        </w:pict>
      </w:r>
      <w:r>
        <w:rPr>
          <w:rFonts w:ascii="Arial Unicode MS" w:hAnsi="Arial Unicode MS" w:cs="Arial Unicode MS" w:eastAsia="Arial Unicode MS"/>
          <w:spacing w:val="0"/>
          <w:w w:val="100"/>
          <w:position w:val="-1"/>
          <w:sz w:val="22"/>
          <w:szCs w:val="22"/>
        </w:rPr>
        <w:t>熟化时间</w:t>
        <w:tab/>
      </w:r>
      <w:r>
        <w:rPr>
          <w:rFonts w:ascii="Arial Unicode MS" w:hAnsi="Arial Unicode MS" w:cs="Arial Unicode MS" w:eastAsia="Arial Unicode MS"/>
          <w:spacing w:val="0"/>
          <w:w w:val="100"/>
          <w:position w:val="-1"/>
          <w:sz w:val="22"/>
          <w:szCs w:val="22"/>
        </w:rPr>
      </w:r>
      <w:r>
        <w:rPr>
          <w:rFonts w:ascii="Arial Unicode MS" w:hAnsi="Arial Unicode MS" w:cs="Arial Unicode MS" w:eastAsia="Arial Unicode MS"/>
          <w:spacing w:val="0"/>
          <w:w w:val="100"/>
          <w:position w:val="4"/>
          <w:sz w:val="16"/>
          <w:szCs w:val="16"/>
        </w:rPr>
        <w:t>在温度低于</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25°C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时为</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30</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分钟</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(KDA100)</w:t>
      </w:r>
      <w:r>
        <w:rPr>
          <w:rFonts w:ascii="Arial Unicode MS" w:hAnsi="Arial Unicode MS" w:cs="Arial Unicode MS" w:eastAsia="Arial Unicode MS"/>
          <w:spacing w:val="0"/>
          <w:w w:val="100"/>
          <w:position w:val="0"/>
          <w:sz w:val="16"/>
          <w:szCs w:val="16"/>
        </w:rPr>
      </w:r>
    </w:p>
    <w:p>
      <w:pPr>
        <w:spacing w:before="13" w:after="0" w:line="260" w:lineRule="exact"/>
        <w:jc w:val="left"/>
        <w:rPr>
          <w:sz w:val="26"/>
          <w:szCs w:val="26"/>
        </w:rPr>
      </w:pPr>
      <w:r>
        <w:rPr>
          <w:sz w:val="26"/>
          <w:szCs w:val="26"/>
        </w:rPr>
      </w:r>
    </w:p>
    <w:tbl>
      <w:tblPr>
        <w:tblW w:w="0" w:type="auto"/>
        <w:jc w:val="left"/>
        <w:tblInd w:w="2223" w:type="dxa"/>
        <w:tblLayout w:type="fixed"/>
        <w:tblCellMar>
          <w:top w:w="0" w:type="dxa"/>
          <w:left w:w="0" w:type="dxa"/>
          <w:bottom w:w="0" w:type="dxa"/>
          <w:right w:w="0" w:type="dxa"/>
        </w:tblCellMar>
        <w:tblLook w:val="01E0"/>
      </w:tblPr>
      <w:tblGrid/>
      <w:tr>
        <w:trPr>
          <w:trHeight w:val="453" w:hRule="exact"/>
        </w:trPr>
        <w:tc>
          <w:tcPr>
            <w:tcW w:w="2351" w:type="dxa"/>
            <w:tcBorders>
              <w:top w:val="nil" w:sz="6" w:space="0" w:color="auto"/>
              <w:left w:val="nil" w:sz="6" w:space="0" w:color="auto"/>
              <w:bottom w:val="nil" w:sz="6" w:space="0" w:color="auto"/>
              <w:right w:val="nil" w:sz="6" w:space="0" w:color="auto"/>
            </w:tcBorders>
          </w:tcPr>
          <w:p>
            <w:pPr>
              <w:spacing w:before="93" w:after="0" w:line="240" w:lineRule="auto"/>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干燥资料</w:t>
            </w:r>
          </w:p>
        </w:tc>
        <w:tc>
          <w:tcPr>
            <w:tcW w:w="1265" w:type="dxa"/>
            <w:tcBorders>
              <w:top w:val="single" w:sz="12" w:space="0" w:color="000000"/>
              <w:left w:val="nil" w:sz="6" w:space="0" w:color="auto"/>
              <w:bottom w:val="single" w:sz="4" w:space="0" w:color="000000"/>
              <w:right w:val="nil" w:sz="6" w:space="0" w:color="auto"/>
            </w:tcBorders>
          </w:tcPr>
          <w:p>
            <w:pPr>
              <w:spacing w:before="93" w:after="0" w:line="240" w:lineRule="auto"/>
              <w:ind w:left="397" w:right="55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5°C</w:t>
            </w:r>
            <w:r>
              <w:rPr>
                <w:rFonts w:ascii="Arial Unicode MS" w:hAnsi="Arial Unicode MS" w:cs="Arial Unicode MS" w:eastAsia="Arial Unicode MS"/>
                <w:spacing w:val="0"/>
                <w:w w:val="100"/>
                <w:sz w:val="14"/>
                <w:szCs w:val="14"/>
              </w:rPr>
            </w:r>
          </w:p>
        </w:tc>
        <w:tc>
          <w:tcPr>
            <w:tcW w:w="1459" w:type="dxa"/>
            <w:tcBorders>
              <w:top w:val="single" w:sz="12" w:space="0" w:color="000000"/>
              <w:left w:val="nil" w:sz="6" w:space="0" w:color="auto"/>
              <w:bottom w:val="single" w:sz="4" w:space="0" w:color="000000"/>
              <w:right w:val="nil" w:sz="6" w:space="0" w:color="auto"/>
            </w:tcBorders>
          </w:tcPr>
          <w:p>
            <w:pPr>
              <w:spacing w:before="93" w:after="0" w:line="240" w:lineRule="auto"/>
              <w:ind w:left="535" w:right="530"/>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10°C</w:t>
            </w:r>
            <w:r>
              <w:rPr>
                <w:rFonts w:ascii="Arial Unicode MS" w:hAnsi="Arial Unicode MS" w:cs="Arial Unicode MS" w:eastAsia="Arial Unicode MS"/>
                <w:spacing w:val="0"/>
                <w:w w:val="100"/>
                <w:sz w:val="14"/>
                <w:szCs w:val="14"/>
              </w:rPr>
            </w:r>
          </w:p>
        </w:tc>
        <w:tc>
          <w:tcPr>
            <w:tcW w:w="1420" w:type="dxa"/>
            <w:tcBorders>
              <w:top w:val="single" w:sz="12" w:space="0" w:color="000000"/>
              <w:left w:val="nil" w:sz="6" w:space="0" w:color="auto"/>
              <w:bottom w:val="single" w:sz="4" w:space="0" w:color="000000"/>
              <w:right w:val="nil" w:sz="6" w:space="0" w:color="auto"/>
            </w:tcBorders>
          </w:tcPr>
          <w:p>
            <w:pPr>
              <w:spacing w:before="93" w:after="0" w:line="240" w:lineRule="auto"/>
              <w:ind w:left="516" w:right="510"/>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25°C</w:t>
            </w:r>
            <w:r>
              <w:rPr>
                <w:rFonts w:ascii="Arial Unicode MS" w:hAnsi="Arial Unicode MS" w:cs="Arial Unicode MS" w:eastAsia="Arial Unicode MS"/>
                <w:spacing w:val="0"/>
                <w:w w:val="100"/>
                <w:sz w:val="14"/>
                <w:szCs w:val="14"/>
              </w:rPr>
            </w:r>
          </w:p>
        </w:tc>
        <w:tc>
          <w:tcPr>
            <w:tcW w:w="1437" w:type="dxa"/>
            <w:tcBorders>
              <w:top w:val="single" w:sz="12" w:space="0" w:color="000000"/>
              <w:left w:val="nil" w:sz="6" w:space="0" w:color="auto"/>
              <w:bottom w:val="single" w:sz="4" w:space="0" w:color="000000"/>
              <w:right w:val="nil" w:sz="6" w:space="0" w:color="auto"/>
            </w:tcBorders>
          </w:tcPr>
          <w:p>
            <w:pPr>
              <w:spacing w:before="93" w:after="0" w:line="240" w:lineRule="auto"/>
              <w:ind w:left="536" w:right="507"/>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35°C</w:t>
            </w:r>
            <w:r>
              <w:rPr>
                <w:rFonts w:ascii="Arial Unicode MS" w:hAnsi="Arial Unicode MS" w:cs="Arial Unicode MS" w:eastAsia="Arial Unicode MS"/>
                <w:spacing w:val="0"/>
                <w:w w:val="100"/>
                <w:sz w:val="14"/>
                <w:szCs w:val="14"/>
              </w:rPr>
            </w:r>
          </w:p>
        </w:tc>
      </w:tr>
      <w:tr>
        <w:trPr>
          <w:trHeight w:val="826" w:hRule="exact"/>
        </w:trPr>
        <w:tc>
          <w:tcPr>
            <w:tcW w:w="2351" w:type="dxa"/>
            <w:tcBorders>
              <w:top w:val="nil" w:sz="6" w:space="0" w:color="auto"/>
              <w:left w:val="nil" w:sz="6" w:space="0" w:color="auto"/>
              <w:bottom w:val="nil" w:sz="6" w:space="0" w:color="auto"/>
              <w:right w:val="nil" w:sz="6" w:space="0" w:color="auto"/>
            </w:tcBorders>
          </w:tcPr>
          <w:p>
            <w:pPr>
              <w:spacing w:before="3" w:after="0" w:line="242" w:lineRule="auto"/>
              <w:ind w:left="50" w:right="1063"/>
              <w:jc w:val="both"/>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表干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1517:73]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硬干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9117:90]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凝胶时间</w:t>
            </w:r>
          </w:p>
        </w:tc>
        <w:tc>
          <w:tcPr>
            <w:tcW w:w="1265" w:type="dxa"/>
            <w:tcBorders>
              <w:top w:val="single" w:sz="4" w:space="0" w:color="000000"/>
              <w:left w:val="nil" w:sz="6" w:space="0" w:color="auto"/>
              <w:bottom w:val="nil" w:sz="6" w:space="0" w:color="auto"/>
              <w:right w:val="nil" w:sz="6" w:space="0" w:color="auto"/>
            </w:tcBorders>
          </w:tcPr>
          <w:p>
            <w:pPr>
              <w:spacing w:before="3" w:after="0" w:line="240" w:lineRule="auto"/>
              <w:ind w:left="34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9</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34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59" w:type="dxa"/>
            <w:tcBorders>
              <w:top w:val="single" w:sz="4" w:space="0" w:color="000000"/>
              <w:left w:val="nil" w:sz="6" w:space="0" w:color="auto"/>
              <w:bottom w:val="nil" w:sz="6" w:space="0" w:color="auto"/>
              <w:right w:val="nil" w:sz="6" w:space="0" w:color="auto"/>
            </w:tcBorders>
          </w:tcPr>
          <w:p>
            <w:pPr>
              <w:spacing w:before="3" w:after="0" w:line="240" w:lineRule="auto"/>
              <w:ind w:left="490" w:right="491"/>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52" w:right="451"/>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29</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90" w:right="491"/>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20" w:type="dxa"/>
            <w:tcBorders>
              <w:top w:val="single" w:sz="4" w:space="0" w:color="000000"/>
              <w:left w:val="nil" w:sz="6" w:space="0" w:color="auto"/>
              <w:bottom w:val="nil" w:sz="6" w:space="0" w:color="auto"/>
              <w:right w:val="nil" w:sz="6" w:space="0" w:color="auto"/>
            </w:tcBorders>
          </w:tcPr>
          <w:p>
            <w:pPr>
              <w:spacing w:before="3" w:after="0" w:line="240" w:lineRule="auto"/>
              <w:ind w:left="471" w:right="471"/>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71" w:right="471"/>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9</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71" w:right="471"/>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37" w:type="dxa"/>
            <w:tcBorders>
              <w:top w:val="single" w:sz="4" w:space="0" w:color="000000"/>
              <w:left w:val="nil" w:sz="6" w:space="0" w:color="auto"/>
              <w:bottom w:val="nil" w:sz="6" w:space="0" w:color="auto"/>
              <w:right w:val="nil" w:sz="6" w:space="0" w:color="auto"/>
            </w:tcBorders>
          </w:tcPr>
          <w:p>
            <w:pPr>
              <w:spacing w:before="3" w:after="0" w:line="240" w:lineRule="auto"/>
              <w:ind w:left="491"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91"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91"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r>
    </w:tbl>
    <w:p>
      <w:pPr>
        <w:tabs>
          <w:tab w:pos="6520" w:val="left"/>
        </w:tabs>
        <w:spacing w:before="55" w:after="0" w:line="374" w:lineRule="exact"/>
        <w:ind w:left="2291"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复涂数据－见“限定”一节</w:t>
        <w:tab/>
      </w:r>
      <w:r>
        <w:rPr>
          <w:rFonts w:ascii="Arial Unicode MS" w:hAnsi="Arial Unicode MS" w:cs="Arial Unicode MS" w:eastAsia="Arial Unicode MS"/>
          <w:spacing w:val="0"/>
          <w:w w:val="100"/>
          <w:position w:val="-1"/>
          <w:sz w:val="22"/>
          <w:szCs w:val="22"/>
        </w:rPr>
        <w:t>底材温度</w:t>
      </w:r>
      <w:r>
        <w:rPr>
          <w:rFonts w:ascii="Arial Unicode MS" w:hAnsi="Arial Unicode MS" w:cs="Arial Unicode MS" w:eastAsia="Arial Unicode MS"/>
          <w:spacing w:val="0"/>
          <w:w w:val="100"/>
          <w:position w:val="0"/>
          <w:sz w:val="22"/>
          <w:szCs w:val="22"/>
        </w:rPr>
      </w:r>
    </w:p>
    <w:p>
      <w:pPr>
        <w:tabs>
          <w:tab w:pos="6400" w:val="left"/>
          <w:tab w:pos="7840" w:val="left"/>
          <w:tab w:pos="9280" w:val="left"/>
        </w:tabs>
        <w:spacing w:before="0" w:after="0" w:line="133" w:lineRule="exact"/>
        <w:ind w:left="500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10°C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25°C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35°C</w:t>
      </w:r>
      <w:r>
        <w:rPr>
          <w:rFonts w:ascii="Arial Unicode MS" w:hAnsi="Arial Unicode MS" w:cs="Arial Unicode MS" w:eastAsia="Arial Unicode MS"/>
          <w:spacing w:val="0"/>
          <w:w w:val="100"/>
          <w:sz w:val="14"/>
          <w:szCs w:val="14"/>
        </w:rPr>
      </w:r>
    </w:p>
    <w:p>
      <w:pPr>
        <w:spacing w:line="133" w:lineRule="exact" w:after="0"/>
        <w:jc w:val="left"/>
        <w:rPr>
          <w:rFonts w:ascii="Arial Unicode MS" w:hAnsi="Arial Unicode MS" w:cs="Arial Unicode MS" w:eastAsia="Arial Unicode MS"/>
          <w:sz w:val="14"/>
          <w:szCs w:val="14"/>
        </w:rPr>
        <w:sectPr>
          <w:type w:val="continuous"/>
          <w:pgSz w:w="11900" w:h="16820"/>
          <w:pgMar w:top="1040" w:bottom="1780" w:left="620" w:right="540"/>
        </w:sectPr>
      </w:pPr>
    </w:p>
    <w:p>
      <w:pPr>
        <w:spacing w:before="66" w:after="0" w:line="233" w:lineRule="exact"/>
        <w:ind w:right="-20"/>
        <w:jc w:val="righ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复涂下列产品时</w:t>
      </w:r>
      <w:r>
        <w:rPr>
          <w:rFonts w:ascii="Arial Unicode MS" w:hAnsi="Arial Unicode MS" w:cs="Arial Unicode MS" w:eastAsia="Arial Unicode MS"/>
          <w:spacing w:val="0"/>
          <w:w w:val="100"/>
          <w:position w:val="0"/>
          <w:sz w:val="14"/>
          <w:szCs w:val="14"/>
        </w:rPr>
      </w:r>
    </w:p>
    <w:p>
      <w:pPr>
        <w:tabs>
          <w:tab w:pos="720" w:val="left"/>
          <w:tab w:pos="1440" w:val="left"/>
          <w:tab w:pos="2160" w:val="left"/>
          <w:tab w:pos="2880" w:val="left"/>
          <w:tab w:pos="3600" w:val="left"/>
          <w:tab w:pos="4320" w:val="left"/>
          <w:tab w:pos="5040" w:val="left"/>
        </w:tabs>
        <w:spacing w:before="37" w:after="0" w:line="240" w:lineRule="auto"/>
        <w:ind w:right="-20"/>
        <w:jc w:val="left"/>
        <w:rPr>
          <w:rFonts w:ascii="Arial Unicode MS" w:hAnsi="Arial Unicode MS" w:cs="Arial Unicode MS" w:eastAsia="Arial Unicode MS"/>
          <w:sz w:val="14"/>
          <w:szCs w:val="14"/>
        </w:rPr>
      </w:pPr>
      <w:r>
        <w:rPr/>
        <w:br w:type="column"/>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r>
    </w:p>
    <w:p>
      <w:pPr>
        <w:spacing w:line="240" w:lineRule="auto" w:after="0"/>
        <w:jc w:val="left"/>
        <w:rPr>
          <w:rFonts w:ascii="Arial Unicode MS" w:hAnsi="Arial Unicode MS" w:cs="Arial Unicode MS" w:eastAsia="Arial Unicode MS"/>
          <w:sz w:val="14"/>
          <w:szCs w:val="14"/>
        </w:rPr>
        <w:sectPr>
          <w:type w:val="continuous"/>
          <w:pgSz w:w="11900" w:h="16820"/>
          <w:pgMar w:top="1040" w:bottom="1780" w:left="620" w:right="540"/>
          <w:cols w:num="2" w:equalWidth="0">
            <w:col w:w="3215" w:space="1404"/>
            <w:col w:w="6121"/>
          </w:cols>
        </w:sectPr>
      </w:pPr>
    </w:p>
    <w:p>
      <w:pPr>
        <w:spacing w:before="6" w:after="0" w:line="180" w:lineRule="exact"/>
        <w:jc w:val="left"/>
        <w:rPr>
          <w:sz w:val="18"/>
          <w:szCs w:val="18"/>
        </w:rPr>
      </w:pPr>
      <w:r>
        <w:rPr>
          <w:sz w:val="18"/>
          <w:szCs w:val="18"/>
        </w:rPr>
      </w:r>
    </w:p>
    <w:tbl>
      <w:tblPr>
        <w:tblW w:w="0" w:type="auto"/>
        <w:jc w:val="left"/>
        <w:tblInd w:w="2194" w:type="dxa"/>
        <w:tblLayout w:type="fixed"/>
        <w:tblCellMar>
          <w:top w:w="0" w:type="dxa"/>
          <w:left w:w="0" w:type="dxa"/>
          <w:bottom w:w="0" w:type="dxa"/>
          <w:right w:w="0" w:type="dxa"/>
        </w:tblCellMar>
        <w:tblLook w:val="01E0"/>
      </w:tblPr>
      <w:tblGrid/>
      <w:tr>
        <w:trPr>
          <w:trHeight w:val="502" w:hRule="exact"/>
        </w:trPr>
        <w:tc>
          <w:tcPr>
            <w:tcW w:w="1651" w:type="dxa"/>
            <w:tcBorders>
              <w:top w:val="nil" w:sz="6" w:space="0" w:color="auto"/>
              <w:left w:val="nil" w:sz="6" w:space="0" w:color="auto"/>
              <w:bottom w:val="nil" w:sz="6" w:space="0" w:color="auto"/>
              <w:right w:val="nil" w:sz="6" w:space="0" w:color="auto"/>
            </w:tcBorders>
          </w:tcPr>
          <w:p>
            <w:pPr>
              <w:spacing w:before="0" w:after="0" w:line="240" w:lineRule="auto"/>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Interbond</w:t>
            </w:r>
            <w:r>
              <w:rPr>
                <w:rFonts w:ascii="Arial Unicode MS" w:hAnsi="Arial Unicode MS" w:cs="Arial Unicode MS" w:eastAsia="Arial Unicode MS"/>
                <w:spacing w:val="-6"/>
                <w:w w:val="100"/>
                <w:sz w:val="14"/>
                <w:szCs w:val="14"/>
              </w:rPr>
              <w:t> </w:t>
            </w:r>
            <w:r>
              <w:rPr>
                <w:rFonts w:ascii="Arial Unicode MS" w:hAnsi="Arial Unicode MS" w:cs="Arial Unicode MS" w:eastAsia="Arial Unicode MS"/>
                <w:spacing w:val="0"/>
                <w:w w:val="100"/>
                <w:sz w:val="14"/>
                <w:szCs w:val="14"/>
              </w:rPr>
              <w:t>201</w:t>
            </w:r>
          </w:p>
          <w:p>
            <w:pPr>
              <w:spacing w:before="2" w:after="0" w:line="240" w:lineRule="auto"/>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Interbond</w:t>
            </w:r>
            <w:r>
              <w:rPr>
                <w:rFonts w:ascii="Arial Unicode MS" w:hAnsi="Arial Unicode MS" w:cs="Arial Unicode MS" w:eastAsia="Arial Unicode MS"/>
                <w:spacing w:val="-6"/>
                <w:w w:val="100"/>
                <w:sz w:val="14"/>
                <w:szCs w:val="14"/>
              </w:rPr>
              <w:t> </w:t>
            </w:r>
            <w:r>
              <w:rPr>
                <w:rFonts w:ascii="Arial Unicode MS" w:hAnsi="Arial Unicode MS" w:cs="Arial Unicode MS" w:eastAsia="Arial Unicode MS"/>
                <w:spacing w:val="0"/>
                <w:w w:val="100"/>
                <w:sz w:val="14"/>
                <w:szCs w:val="14"/>
              </w:rPr>
              <w:t>201</w:t>
            </w:r>
          </w:p>
        </w:tc>
        <w:tc>
          <w:tcPr>
            <w:tcW w:w="1308" w:type="dxa"/>
            <w:tcBorders>
              <w:top w:val="nil" w:sz="6" w:space="0" w:color="auto"/>
              <w:left w:val="nil" w:sz="6" w:space="0" w:color="auto"/>
              <w:bottom w:val="nil" w:sz="6" w:space="0" w:color="auto"/>
              <w:right w:val="nil" w:sz="6" w:space="0" w:color="auto"/>
            </w:tcBorders>
          </w:tcPr>
          <w:p>
            <w:pPr>
              <w:spacing w:before="0" w:after="0" w:line="240" w:lineRule="auto"/>
              <w:ind w:left="67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67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0" w:type="dxa"/>
            <w:tcBorders>
              <w:top w:val="single" w:sz="4" w:space="0" w:color="000000"/>
              <w:left w:val="nil" w:sz="6" w:space="0" w:color="auto"/>
              <w:bottom w:val="nil" w:sz="6" w:space="0" w:color="auto"/>
              <w:right w:val="nil" w:sz="6" w:space="0" w:color="auto"/>
            </w:tcBorders>
          </w:tcPr>
          <w:p>
            <w:pPr>
              <w:spacing w:before="0" w:after="0" w:line="240" w:lineRule="auto"/>
              <w:ind w:left="19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月</w:t>
            </w:r>
          </w:p>
          <w:p>
            <w:pPr>
              <w:spacing w:before="2" w:after="0" w:line="240" w:lineRule="auto"/>
              <w:ind w:left="15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83" w:type="dxa"/>
            <w:tcBorders>
              <w:top w:val="single" w:sz="4" w:space="0" w:color="000000"/>
              <w:left w:val="nil" w:sz="6" w:space="0" w:color="auto"/>
              <w:bottom w:val="nil" w:sz="6" w:space="0" w:color="auto"/>
              <w:right w:val="nil" w:sz="6" w:space="0" w:color="auto"/>
            </w:tcBorders>
          </w:tcPr>
          <w:p>
            <w:pPr>
              <w:spacing w:before="0" w:after="0" w:line="240" w:lineRule="auto"/>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97" w:type="dxa"/>
            <w:tcBorders>
              <w:top w:val="single" w:sz="4" w:space="0" w:color="000000"/>
              <w:left w:val="nil" w:sz="6" w:space="0" w:color="auto"/>
              <w:bottom w:val="nil" w:sz="6" w:space="0" w:color="auto"/>
              <w:right w:val="nil" w:sz="6" w:space="0" w:color="auto"/>
            </w:tcBorders>
          </w:tcPr>
          <w:p>
            <w:pPr>
              <w:spacing w:before="0" w:after="0" w:line="240" w:lineRule="auto"/>
              <w:ind w:left="14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2.5</w:t>
            </w:r>
            <w:r>
              <w:rPr>
                <w:rFonts w:ascii="Arial Unicode MS" w:hAnsi="Arial Unicode MS" w:cs="Arial Unicode MS" w:eastAsia="Arial Unicode MS"/>
                <w:spacing w:val="-2"/>
                <w:w w:val="100"/>
                <w:sz w:val="14"/>
                <w:szCs w:val="14"/>
              </w:rPr>
              <w:t> </w:t>
            </w:r>
            <w:r>
              <w:rPr>
                <w:rFonts w:ascii="Arial Unicode MS" w:hAnsi="Arial Unicode MS" w:cs="Arial Unicode MS" w:eastAsia="Arial Unicode MS"/>
                <w:spacing w:val="0"/>
                <w:w w:val="100"/>
                <w:sz w:val="14"/>
                <w:szCs w:val="14"/>
              </w:rPr>
              <w:t>月</w:t>
            </w:r>
          </w:p>
          <w:p>
            <w:pPr>
              <w:spacing w:before="2" w:after="0" w:line="240" w:lineRule="auto"/>
              <w:ind w:left="16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05" w:type="dxa"/>
            <w:tcBorders>
              <w:top w:val="single" w:sz="4" w:space="0" w:color="000000"/>
              <w:left w:val="nil" w:sz="6" w:space="0" w:color="auto"/>
              <w:bottom w:val="nil" w:sz="6" w:space="0" w:color="auto"/>
              <w:right w:val="nil" w:sz="6" w:space="0" w:color="auto"/>
            </w:tcBorders>
          </w:tcPr>
          <w:p>
            <w:pPr>
              <w:spacing w:before="0" w:after="0" w:line="240" w:lineRule="auto"/>
              <w:ind w:left="17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17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750" w:type="dxa"/>
            <w:tcBorders>
              <w:top w:val="single" w:sz="4" w:space="0" w:color="000000"/>
              <w:left w:val="nil" w:sz="6" w:space="0" w:color="auto"/>
              <w:bottom w:val="nil" w:sz="6" w:space="0" w:color="auto"/>
              <w:right w:val="nil" w:sz="6" w:space="0" w:color="auto"/>
            </w:tcBorders>
          </w:tcPr>
          <w:p>
            <w:pPr>
              <w:spacing w:before="0" w:after="0" w:line="240" w:lineRule="auto"/>
              <w:ind w:left="23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月</w:t>
            </w:r>
          </w:p>
          <w:p>
            <w:pPr>
              <w:spacing w:before="2" w:after="0" w:line="240" w:lineRule="auto"/>
              <w:ind w:left="20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681" w:type="dxa"/>
            <w:tcBorders>
              <w:top w:val="single" w:sz="4" w:space="0" w:color="000000"/>
              <w:left w:val="nil" w:sz="6" w:space="0" w:color="auto"/>
              <w:bottom w:val="nil" w:sz="6" w:space="0" w:color="auto"/>
              <w:right w:val="nil" w:sz="6" w:space="0" w:color="auto"/>
            </w:tcBorders>
          </w:tcPr>
          <w:p>
            <w:pPr>
              <w:spacing w:before="0" w:after="0" w:line="240" w:lineRule="auto"/>
              <w:ind w:left="14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14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7" w:type="dxa"/>
            <w:tcBorders>
              <w:top w:val="single" w:sz="4" w:space="0" w:color="000000"/>
              <w:left w:val="nil" w:sz="6" w:space="0" w:color="auto"/>
              <w:bottom w:val="nil" w:sz="6" w:space="0" w:color="auto"/>
              <w:right w:val="nil" w:sz="6" w:space="0" w:color="auto"/>
            </w:tcBorders>
          </w:tcPr>
          <w:p>
            <w:pPr>
              <w:spacing w:before="0" w:after="0" w:line="240" w:lineRule="auto"/>
              <w:ind w:left="21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p>
            <w:pPr>
              <w:spacing w:before="2" w:after="0" w:line="240" w:lineRule="auto"/>
              <w:ind w:left="21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r>
      <w:tr>
        <w:trPr>
          <w:trHeight w:val="404" w:hRule="exact"/>
        </w:trPr>
        <w:tc>
          <w:tcPr>
            <w:tcW w:w="1651" w:type="dxa"/>
            <w:tcBorders>
              <w:top w:val="nil" w:sz="6" w:space="0" w:color="auto"/>
              <w:left w:val="nil" w:sz="6" w:space="0" w:color="auto"/>
              <w:bottom w:val="nil" w:sz="6" w:space="0" w:color="auto"/>
              <w:right w:val="nil" w:sz="6" w:space="0" w:color="auto"/>
            </w:tcBorders>
          </w:tcPr>
          <w:p>
            <w:pPr>
              <w:spacing w:before="0" w:after="0" w:line="173"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压载舱</w:t>
            </w:r>
          </w:p>
          <w:p>
            <w:pPr>
              <w:spacing w:before="0" w:after="0" w:line="188"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Interbond</w:t>
            </w:r>
            <w:r>
              <w:rPr>
                <w:rFonts w:ascii="Arial Unicode MS" w:hAnsi="Arial Unicode MS" w:cs="Arial Unicode MS" w:eastAsia="Arial Unicode MS"/>
                <w:spacing w:val="-6"/>
                <w:w w:val="100"/>
                <w:sz w:val="14"/>
                <w:szCs w:val="14"/>
              </w:rPr>
              <w:t> </w:t>
            </w:r>
            <w:r>
              <w:rPr>
                <w:rFonts w:ascii="Arial Unicode MS" w:hAnsi="Arial Unicode MS" w:cs="Arial Unicode MS" w:eastAsia="Arial Unicode MS"/>
                <w:spacing w:val="0"/>
                <w:w w:val="100"/>
                <w:sz w:val="14"/>
                <w:szCs w:val="14"/>
              </w:rPr>
              <w:t>501</w:t>
            </w:r>
          </w:p>
        </w:tc>
        <w:tc>
          <w:tcPr>
            <w:tcW w:w="1308" w:type="dxa"/>
            <w:tcBorders>
              <w:top w:val="nil" w:sz="6" w:space="0" w:color="auto"/>
              <w:left w:val="nil" w:sz="6" w:space="0" w:color="auto"/>
              <w:bottom w:val="nil" w:sz="6" w:space="0" w:color="auto"/>
              <w:right w:val="nil" w:sz="6" w:space="0" w:color="auto"/>
            </w:tcBorders>
          </w:tcPr>
          <w:p>
            <w:pPr>
              <w:spacing w:before="8" w:after="0" w:line="110" w:lineRule="exact"/>
              <w:jc w:val="left"/>
              <w:rPr>
                <w:sz w:val="11"/>
                <w:szCs w:val="11"/>
              </w:rPr>
            </w:pPr>
            <w:r>
              <w:rPr>
                <w:sz w:val="11"/>
                <w:szCs w:val="11"/>
              </w:rPr>
            </w:r>
          </w:p>
          <w:p>
            <w:pPr>
              <w:spacing w:before="0" w:after="0" w:line="240" w:lineRule="auto"/>
              <w:ind w:left="67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0" w:type="dxa"/>
            <w:tcBorders>
              <w:top w:val="nil" w:sz="6" w:space="0" w:color="auto"/>
              <w:left w:val="nil" w:sz="6" w:space="0" w:color="auto"/>
              <w:bottom w:val="nil" w:sz="6" w:space="0" w:color="auto"/>
              <w:right w:val="nil" w:sz="6" w:space="0" w:color="auto"/>
            </w:tcBorders>
          </w:tcPr>
          <w:p>
            <w:pPr>
              <w:spacing w:before="8" w:after="0" w:line="110" w:lineRule="exact"/>
              <w:jc w:val="left"/>
              <w:rPr>
                <w:sz w:val="11"/>
                <w:szCs w:val="11"/>
              </w:rPr>
            </w:pPr>
            <w:r>
              <w:rPr>
                <w:sz w:val="11"/>
                <w:szCs w:val="11"/>
              </w:rPr>
            </w:r>
          </w:p>
          <w:p>
            <w:pPr>
              <w:spacing w:before="0" w:after="0" w:line="240" w:lineRule="auto"/>
              <w:ind w:left="15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83" w:type="dxa"/>
            <w:tcBorders>
              <w:top w:val="nil" w:sz="6" w:space="0" w:color="auto"/>
              <w:left w:val="nil" w:sz="6" w:space="0" w:color="auto"/>
              <w:bottom w:val="nil" w:sz="6" w:space="0" w:color="auto"/>
              <w:right w:val="nil" w:sz="6" w:space="0" w:color="auto"/>
            </w:tcBorders>
          </w:tcPr>
          <w:p>
            <w:pPr>
              <w:spacing w:before="8" w:after="0" w:line="110" w:lineRule="exact"/>
              <w:jc w:val="left"/>
              <w:rPr>
                <w:sz w:val="11"/>
                <w:szCs w:val="11"/>
              </w:rPr>
            </w:pPr>
            <w:r>
              <w:rPr>
                <w:sz w:val="11"/>
                <w:szCs w:val="11"/>
              </w:rPr>
            </w:r>
          </w:p>
          <w:p>
            <w:pPr>
              <w:spacing w:before="0" w:after="0" w:line="240" w:lineRule="auto"/>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97" w:type="dxa"/>
            <w:tcBorders>
              <w:top w:val="nil" w:sz="6" w:space="0" w:color="auto"/>
              <w:left w:val="nil" w:sz="6" w:space="0" w:color="auto"/>
              <w:bottom w:val="nil" w:sz="6" w:space="0" w:color="auto"/>
              <w:right w:val="nil" w:sz="6" w:space="0" w:color="auto"/>
            </w:tcBorders>
          </w:tcPr>
          <w:p>
            <w:pPr>
              <w:spacing w:before="8" w:after="0" w:line="110" w:lineRule="exact"/>
              <w:jc w:val="left"/>
              <w:rPr>
                <w:sz w:val="11"/>
                <w:szCs w:val="11"/>
              </w:rPr>
            </w:pPr>
            <w:r>
              <w:rPr>
                <w:sz w:val="11"/>
                <w:szCs w:val="11"/>
              </w:rPr>
            </w:r>
          </w:p>
          <w:p>
            <w:pPr>
              <w:spacing w:before="0" w:after="0" w:line="240" w:lineRule="auto"/>
              <w:ind w:left="16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05" w:type="dxa"/>
            <w:tcBorders>
              <w:top w:val="nil" w:sz="6" w:space="0" w:color="auto"/>
              <w:left w:val="nil" w:sz="6" w:space="0" w:color="auto"/>
              <w:bottom w:val="nil" w:sz="6" w:space="0" w:color="auto"/>
              <w:right w:val="nil" w:sz="6" w:space="0" w:color="auto"/>
            </w:tcBorders>
          </w:tcPr>
          <w:p>
            <w:pPr>
              <w:spacing w:before="8" w:after="0" w:line="110" w:lineRule="exact"/>
              <w:jc w:val="left"/>
              <w:rPr>
                <w:sz w:val="11"/>
                <w:szCs w:val="11"/>
              </w:rPr>
            </w:pPr>
            <w:r>
              <w:rPr>
                <w:sz w:val="11"/>
                <w:szCs w:val="11"/>
              </w:rPr>
            </w:r>
          </w:p>
          <w:p>
            <w:pPr>
              <w:spacing w:before="0" w:after="0" w:line="240" w:lineRule="auto"/>
              <w:ind w:left="17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750" w:type="dxa"/>
            <w:tcBorders>
              <w:top w:val="nil" w:sz="6" w:space="0" w:color="auto"/>
              <w:left w:val="nil" w:sz="6" w:space="0" w:color="auto"/>
              <w:bottom w:val="nil" w:sz="6" w:space="0" w:color="auto"/>
              <w:right w:val="nil" w:sz="6" w:space="0" w:color="auto"/>
            </w:tcBorders>
          </w:tcPr>
          <w:p>
            <w:pPr>
              <w:spacing w:before="8" w:after="0" w:line="110" w:lineRule="exact"/>
              <w:jc w:val="left"/>
              <w:rPr>
                <w:sz w:val="11"/>
                <w:szCs w:val="11"/>
              </w:rPr>
            </w:pPr>
            <w:r>
              <w:rPr>
                <w:sz w:val="11"/>
                <w:szCs w:val="11"/>
              </w:rPr>
            </w:r>
          </w:p>
          <w:p>
            <w:pPr>
              <w:spacing w:before="0" w:after="0" w:line="240" w:lineRule="auto"/>
              <w:ind w:left="20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681" w:type="dxa"/>
            <w:tcBorders>
              <w:top w:val="nil" w:sz="6" w:space="0" w:color="auto"/>
              <w:left w:val="nil" w:sz="6" w:space="0" w:color="auto"/>
              <w:bottom w:val="nil" w:sz="6" w:space="0" w:color="auto"/>
              <w:right w:val="nil" w:sz="6" w:space="0" w:color="auto"/>
            </w:tcBorders>
          </w:tcPr>
          <w:p>
            <w:pPr>
              <w:spacing w:before="8" w:after="0" w:line="110" w:lineRule="exact"/>
              <w:jc w:val="left"/>
              <w:rPr>
                <w:sz w:val="11"/>
                <w:szCs w:val="11"/>
              </w:rPr>
            </w:pPr>
            <w:r>
              <w:rPr>
                <w:sz w:val="11"/>
                <w:szCs w:val="11"/>
              </w:rPr>
            </w:r>
          </w:p>
          <w:p>
            <w:pPr>
              <w:spacing w:before="0" w:after="0" w:line="240" w:lineRule="auto"/>
              <w:ind w:left="14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7" w:type="dxa"/>
            <w:tcBorders>
              <w:top w:val="nil" w:sz="6" w:space="0" w:color="auto"/>
              <w:left w:val="nil" w:sz="6" w:space="0" w:color="auto"/>
              <w:bottom w:val="nil" w:sz="6" w:space="0" w:color="auto"/>
              <w:right w:val="nil" w:sz="6" w:space="0" w:color="auto"/>
            </w:tcBorders>
          </w:tcPr>
          <w:p>
            <w:pPr>
              <w:spacing w:before="8" w:after="0" w:line="110" w:lineRule="exact"/>
              <w:jc w:val="left"/>
              <w:rPr>
                <w:sz w:val="11"/>
                <w:szCs w:val="11"/>
              </w:rPr>
            </w:pPr>
            <w:r>
              <w:rPr>
                <w:sz w:val="11"/>
                <w:szCs w:val="11"/>
              </w:rPr>
            </w:r>
          </w:p>
          <w:p>
            <w:pPr>
              <w:spacing w:before="0" w:after="0" w:line="240" w:lineRule="auto"/>
              <w:ind w:left="21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r>
      <w:tr>
        <w:trPr>
          <w:trHeight w:val="245" w:hRule="exact"/>
        </w:trPr>
        <w:tc>
          <w:tcPr>
            <w:tcW w:w="1651" w:type="dxa"/>
            <w:tcBorders>
              <w:top w:val="nil" w:sz="6" w:space="0" w:color="auto"/>
              <w:left w:val="nil" w:sz="6" w:space="0" w:color="auto"/>
              <w:bottom w:val="nil" w:sz="6" w:space="0" w:color="auto"/>
              <w:right w:val="nil" w:sz="6" w:space="0" w:color="auto"/>
            </w:tcBorders>
          </w:tcPr>
          <w:p>
            <w:pPr>
              <w:spacing w:before="0" w:after="0" w:line="202"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Intergard</w:t>
            </w:r>
            <w:r>
              <w:rPr>
                <w:rFonts w:ascii="Arial Unicode MS" w:hAnsi="Arial Unicode MS" w:cs="Arial Unicode MS" w:eastAsia="Arial Unicode MS"/>
                <w:spacing w:val="-6"/>
                <w:w w:val="100"/>
                <w:sz w:val="14"/>
                <w:szCs w:val="14"/>
              </w:rPr>
              <w:t> </w:t>
            </w:r>
            <w:r>
              <w:rPr>
                <w:rFonts w:ascii="Arial Unicode MS" w:hAnsi="Arial Unicode MS" w:cs="Arial Unicode MS" w:eastAsia="Arial Unicode MS"/>
                <w:spacing w:val="0"/>
                <w:w w:val="100"/>
                <w:sz w:val="14"/>
                <w:szCs w:val="14"/>
              </w:rPr>
              <w:t>740</w:t>
            </w:r>
          </w:p>
        </w:tc>
        <w:tc>
          <w:tcPr>
            <w:tcW w:w="1308" w:type="dxa"/>
            <w:tcBorders>
              <w:top w:val="nil" w:sz="6" w:space="0" w:color="auto"/>
              <w:left w:val="nil" w:sz="6" w:space="0" w:color="auto"/>
              <w:bottom w:val="nil" w:sz="6" w:space="0" w:color="auto"/>
              <w:right w:val="nil" w:sz="6" w:space="0" w:color="auto"/>
            </w:tcBorders>
          </w:tcPr>
          <w:p>
            <w:pPr>
              <w:spacing w:before="0" w:after="0" w:line="202" w:lineRule="exact"/>
              <w:ind w:left="67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0" w:type="dxa"/>
            <w:tcBorders>
              <w:top w:val="nil" w:sz="6" w:space="0" w:color="auto"/>
              <w:left w:val="nil" w:sz="6" w:space="0" w:color="auto"/>
              <w:bottom w:val="nil" w:sz="6" w:space="0" w:color="auto"/>
              <w:right w:val="nil" w:sz="6" w:space="0" w:color="auto"/>
            </w:tcBorders>
          </w:tcPr>
          <w:p>
            <w:pPr>
              <w:spacing w:before="0" w:after="0" w:line="202" w:lineRule="exact"/>
              <w:ind w:left="15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83" w:type="dxa"/>
            <w:tcBorders>
              <w:top w:val="nil" w:sz="6" w:space="0" w:color="auto"/>
              <w:left w:val="nil" w:sz="6" w:space="0" w:color="auto"/>
              <w:bottom w:val="nil" w:sz="6" w:space="0" w:color="auto"/>
              <w:right w:val="nil" w:sz="6" w:space="0" w:color="auto"/>
            </w:tcBorders>
          </w:tcPr>
          <w:p>
            <w:pPr>
              <w:spacing w:before="0" w:after="0" w:line="202" w:lineRule="exact"/>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97" w:type="dxa"/>
            <w:tcBorders>
              <w:top w:val="nil" w:sz="6" w:space="0" w:color="auto"/>
              <w:left w:val="nil" w:sz="6" w:space="0" w:color="auto"/>
              <w:bottom w:val="nil" w:sz="6" w:space="0" w:color="auto"/>
              <w:right w:val="nil" w:sz="6" w:space="0" w:color="auto"/>
            </w:tcBorders>
          </w:tcPr>
          <w:p>
            <w:pPr>
              <w:spacing w:before="0" w:after="0" w:line="202" w:lineRule="exact"/>
              <w:ind w:left="16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05" w:type="dxa"/>
            <w:tcBorders>
              <w:top w:val="nil" w:sz="6" w:space="0" w:color="auto"/>
              <w:left w:val="nil" w:sz="6" w:space="0" w:color="auto"/>
              <w:bottom w:val="nil" w:sz="6" w:space="0" w:color="auto"/>
              <w:right w:val="nil" w:sz="6" w:space="0" w:color="auto"/>
            </w:tcBorders>
          </w:tcPr>
          <w:p>
            <w:pPr>
              <w:spacing w:before="0" w:after="0" w:line="202" w:lineRule="exact"/>
              <w:ind w:left="17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750" w:type="dxa"/>
            <w:tcBorders>
              <w:top w:val="nil" w:sz="6" w:space="0" w:color="auto"/>
              <w:left w:val="nil" w:sz="6" w:space="0" w:color="auto"/>
              <w:bottom w:val="nil" w:sz="6" w:space="0" w:color="auto"/>
              <w:right w:val="nil" w:sz="6" w:space="0" w:color="auto"/>
            </w:tcBorders>
          </w:tcPr>
          <w:p>
            <w:pPr>
              <w:spacing w:before="0" w:after="0" w:line="202" w:lineRule="exact"/>
              <w:ind w:left="20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681" w:type="dxa"/>
            <w:tcBorders>
              <w:top w:val="nil" w:sz="6" w:space="0" w:color="auto"/>
              <w:left w:val="nil" w:sz="6" w:space="0" w:color="auto"/>
              <w:bottom w:val="nil" w:sz="6" w:space="0" w:color="auto"/>
              <w:right w:val="nil" w:sz="6" w:space="0" w:color="auto"/>
            </w:tcBorders>
          </w:tcPr>
          <w:p>
            <w:pPr>
              <w:spacing w:before="0" w:after="0" w:line="202" w:lineRule="exact"/>
              <w:ind w:left="14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7" w:type="dxa"/>
            <w:tcBorders>
              <w:top w:val="nil" w:sz="6" w:space="0" w:color="auto"/>
              <w:left w:val="nil" w:sz="6" w:space="0" w:color="auto"/>
              <w:bottom w:val="nil" w:sz="6" w:space="0" w:color="auto"/>
              <w:right w:val="nil" w:sz="6" w:space="0" w:color="auto"/>
            </w:tcBorders>
          </w:tcPr>
          <w:p>
            <w:pPr>
              <w:spacing w:before="0" w:after="0" w:line="202" w:lineRule="exact"/>
              <w:ind w:left="24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r>
      <w:tr>
        <w:trPr>
          <w:trHeight w:val="245" w:hRule="exact"/>
        </w:trPr>
        <w:tc>
          <w:tcPr>
            <w:tcW w:w="1651" w:type="dxa"/>
            <w:tcBorders>
              <w:top w:val="nil" w:sz="6" w:space="0" w:color="auto"/>
              <w:left w:val="nil" w:sz="6" w:space="0" w:color="auto"/>
              <w:bottom w:val="nil" w:sz="6" w:space="0" w:color="auto"/>
              <w:right w:val="nil" w:sz="6" w:space="0" w:color="auto"/>
            </w:tcBorders>
          </w:tcPr>
          <w:p>
            <w:pPr>
              <w:spacing w:before="0" w:after="0" w:line="202"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Intersheen</w:t>
            </w:r>
            <w:r>
              <w:rPr>
                <w:rFonts w:ascii="Arial Unicode MS" w:hAnsi="Arial Unicode MS" w:cs="Arial Unicode MS" w:eastAsia="Arial Unicode MS"/>
                <w:spacing w:val="-7"/>
                <w:w w:val="100"/>
                <w:sz w:val="14"/>
                <w:szCs w:val="14"/>
              </w:rPr>
              <w:t> </w:t>
            </w:r>
            <w:r>
              <w:rPr>
                <w:rFonts w:ascii="Arial Unicode MS" w:hAnsi="Arial Unicode MS" w:cs="Arial Unicode MS" w:eastAsia="Arial Unicode MS"/>
                <w:spacing w:val="0"/>
                <w:w w:val="100"/>
                <w:sz w:val="14"/>
                <w:szCs w:val="14"/>
              </w:rPr>
              <w:t>579</w:t>
            </w:r>
          </w:p>
        </w:tc>
        <w:tc>
          <w:tcPr>
            <w:tcW w:w="1308" w:type="dxa"/>
            <w:tcBorders>
              <w:top w:val="nil" w:sz="6" w:space="0" w:color="auto"/>
              <w:left w:val="nil" w:sz="6" w:space="0" w:color="auto"/>
              <w:bottom w:val="nil" w:sz="6" w:space="0" w:color="auto"/>
              <w:right w:val="nil" w:sz="6" w:space="0" w:color="auto"/>
            </w:tcBorders>
          </w:tcPr>
          <w:p>
            <w:pPr>
              <w:spacing w:before="0" w:after="0" w:line="202" w:lineRule="exact"/>
              <w:ind w:left="67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0" w:type="dxa"/>
            <w:tcBorders>
              <w:top w:val="nil" w:sz="6" w:space="0" w:color="auto"/>
              <w:left w:val="nil" w:sz="6" w:space="0" w:color="auto"/>
              <w:bottom w:val="nil" w:sz="6" w:space="0" w:color="auto"/>
              <w:right w:val="nil" w:sz="6" w:space="0" w:color="auto"/>
            </w:tcBorders>
          </w:tcPr>
          <w:p>
            <w:pPr>
              <w:spacing w:before="0" w:after="0" w:line="202" w:lineRule="exact"/>
              <w:ind w:left="19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83" w:type="dxa"/>
            <w:tcBorders>
              <w:top w:val="nil" w:sz="6" w:space="0" w:color="auto"/>
              <w:left w:val="nil" w:sz="6" w:space="0" w:color="auto"/>
              <w:bottom w:val="nil" w:sz="6" w:space="0" w:color="auto"/>
              <w:right w:val="nil" w:sz="6" w:space="0" w:color="auto"/>
            </w:tcBorders>
          </w:tcPr>
          <w:p>
            <w:pPr>
              <w:spacing w:before="0" w:after="0" w:line="202" w:lineRule="exact"/>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97" w:type="dxa"/>
            <w:tcBorders>
              <w:top w:val="nil" w:sz="6" w:space="0" w:color="auto"/>
              <w:left w:val="nil" w:sz="6" w:space="0" w:color="auto"/>
              <w:bottom w:val="nil" w:sz="6" w:space="0" w:color="auto"/>
              <w:right w:val="nil" w:sz="6" w:space="0" w:color="auto"/>
            </w:tcBorders>
          </w:tcPr>
          <w:p>
            <w:pPr>
              <w:spacing w:before="0" w:after="0" w:line="202" w:lineRule="exact"/>
              <w:ind w:left="20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05" w:type="dxa"/>
            <w:tcBorders>
              <w:top w:val="nil" w:sz="6" w:space="0" w:color="auto"/>
              <w:left w:val="nil" w:sz="6" w:space="0" w:color="auto"/>
              <w:bottom w:val="nil" w:sz="6" w:space="0" w:color="auto"/>
              <w:right w:val="nil" w:sz="6" w:space="0" w:color="auto"/>
            </w:tcBorders>
          </w:tcPr>
          <w:p>
            <w:pPr>
              <w:spacing w:before="0" w:after="0" w:line="202" w:lineRule="exact"/>
              <w:ind w:left="17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750" w:type="dxa"/>
            <w:tcBorders>
              <w:top w:val="nil" w:sz="6" w:space="0" w:color="auto"/>
              <w:left w:val="nil" w:sz="6" w:space="0" w:color="auto"/>
              <w:bottom w:val="nil" w:sz="6" w:space="0" w:color="auto"/>
              <w:right w:val="nil" w:sz="6" w:space="0" w:color="auto"/>
            </w:tcBorders>
          </w:tcPr>
          <w:p>
            <w:pPr>
              <w:spacing w:before="0" w:after="0" w:line="202" w:lineRule="exact"/>
              <w:ind w:left="23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681" w:type="dxa"/>
            <w:tcBorders>
              <w:top w:val="nil" w:sz="6" w:space="0" w:color="auto"/>
              <w:left w:val="nil" w:sz="6" w:space="0" w:color="auto"/>
              <w:bottom w:val="nil" w:sz="6" w:space="0" w:color="auto"/>
              <w:right w:val="nil" w:sz="6" w:space="0" w:color="auto"/>
            </w:tcBorders>
          </w:tcPr>
          <w:p>
            <w:pPr>
              <w:spacing w:before="0" w:after="0" w:line="202" w:lineRule="exact"/>
              <w:ind w:left="14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7" w:type="dxa"/>
            <w:tcBorders>
              <w:top w:val="nil" w:sz="6" w:space="0" w:color="auto"/>
              <w:left w:val="nil" w:sz="6" w:space="0" w:color="auto"/>
              <w:bottom w:val="nil" w:sz="6" w:space="0" w:color="auto"/>
              <w:right w:val="nil" w:sz="6" w:space="0" w:color="auto"/>
            </w:tcBorders>
          </w:tcPr>
          <w:p>
            <w:pPr>
              <w:spacing w:before="0" w:after="0" w:line="202" w:lineRule="exact"/>
              <w:ind w:left="24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r>
      <w:tr>
        <w:trPr>
          <w:trHeight w:val="292" w:hRule="exact"/>
        </w:trPr>
        <w:tc>
          <w:tcPr>
            <w:tcW w:w="1651" w:type="dxa"/>
            <w:tcBorders>
              <w:top w:val="nil" w:sz="6" w:space="0" w:color="auto"/>
              <w:left w:val="nil" w:sz="6" w:space="0" w:color="auto"/>
              <w:bottom w:val="nil" w:sz="6" w:space="0" w:color="auto"/>
              <w:right w:val="nil" w:sz="6" w:space="0" w:color="auto"/>
            </w:tcBorders>
          </w:tcPr>
          <w:p>
            <w:pPr>
              <w:spacing w:before="0" w:after="0" w:line="202"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Interthane</w:t>
            </w:r>
            <w:r>
              <w:rPr>
                <w:rFonts w:ascii="Arial Unicode MS" w:hAnsi="Arial Unicode MS" w:cs="Arial Unicode MS" w:eastAsia="Arial Unicode MS"/>
                <w:spacing w:val="-6"/>
                <w:w w:val="100"/>
                <w:sz w:val="14"/>
                <w:szCs w:val="14"/>
              </w:rPr>
              <w:t> </w:t>
            </w:r>
            <w:r>
              <w:rPr>
                <w:rFonts w:ascii="Arial Unicode MS" w:hAnsi="Arial Unicode MS" w:cs="Arial Unicode MS" w:eastAsia="Arial Unicode MS"/>
                <w:spacing w:val="0"/>
                <w:w w:val="100"/>
                <w:sz w:val="14"/>
                <w:szCs w:val="14"/>
              </w:rPr>
              <w:t>990</w:t>
            </w:r>
          </w:p>
        </w:tc>
        <w:tc>
          <w:tcPr>
            <w:tcW w:w="1308" w:type="dxa"/>
            <w:tcBorders>
              <w:top w:val="nil" w:sz="6" w:space="0" w:color="auto"/>
              <w:left w:val="nil" w:sz="6" w:space="0" w:color="auto"/>
              <w:bottom w:val="nil" w:sz="6" w:space="0" w:color="auto"/>
              <w:right w:val="nil" w:sz="6" w:space="0" w:color="auto"/>
            </w:tcBorders>
          </w:tcPr>
          <w:p>
            <w:pPr>
              <w:spacing w:before="0" w:after="0" w:line="202" w:lineRule="exact"/>
              <w:ind w:right="338"/>
              <w:jc w:val="righ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w:t>
            </w:r>
          </w:p>
        </w:tc>
        <w:tc>
          <w:tcPr>
            <w:tcW w:w="650" w:type="dxa"/>
            <w:tcBorders>
              <w:top w:val="nil" w:sz="6" w:space="0" w:color="auto"/>
              <w:left w:val="nil" w:sz="6" w:space="0" w:color="auto"/>
              <w:bottom w:val="nil" w:sz="6" w:space="0" w:color="auto"/>
              <w:right w:val="nil" w:sz="6" w:space="0" w:color="auto"/>
            </w:tcBorders>
          </w:tcPr>
          <w:p>
            <w:pPr>
              <w:spacing w:before="0" w:after="0" w:line="202" w:lineRule="exact"/>
              <w:ind w:left="292" w:right="230"/>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w:t>
            </w:r>
          </w:p>
        </w:tc>
        <w:tc>
          <w:tcPr>
            <w:tcW w:w="783" w:type="dxa"/>
            <w:tcBorders>
              <w:top w:val="nil" w:sz="6" w:space="0" w:color="auto"/>
              <w:left w:val="nil" w:sz="6" w:space="0" w:color="auto"/>
              <w:bottom w:val="nil" w:sz="6" w:space="0" w:color="auto"/>
              <w:right w:val="nil" w:sz="6" w:space="0" w:color="auto"/>
            </w:tcBorders>
          </w:tcPr>
          <w:p>
            <w:pPr>
              <w:spacing w:before="0" w:after="0" w:line="202" w:lineRule="exact"/>
              <w:ind w:left="355" w:right="300"/>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w:t>
            </w:r>
          </w:p>
        </w:tc>
        <w:tc>
          <w:tcPr>
            <w:tcW w:w="697" w:type="dxa"/>
            <w:tcBorders>
              <w:top w:val="nil" w:sz="6" w:space="0" w:color="auto"/>
              <w:left w:val="nil" w:sz="6" w:space="0" w:color="auto"/>
              <w:bottom w:val="nil" w:sz="6" w:space="0" w:color="auto"/>
              <w:right w:val="nil" w:sz="6" w:space="0" w:color="auto"/>
            </w:tcBorders>
          </w:tcPr>
          <w:p>
            <w:pPr>
              <w:spacing w:before="0" w:after="0" w:line="202" w:lineRule="exact"/>
              <w:ind w:left="300" w:right="270"/>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w:t>
            </w:r>
          </w:p>
        </w:tc>
        <w:tc>
          <w:tcPr>
            <w:tcW w:w="705" w:type="dxa"/>
            <w:tcBorders>
              <w:top w:val="nil" w:sz="6" w:space="0" w:color="auto"/>
              <w:left w:val="nil" w:sz="6" w:space="0" w:color="auto"/>
              <w:bottom w:val="nil" w:sz="6" w:space="0" w:color="auto"/>
              <w:right w:val="nil" w:sz="6" w:space="0" w:color="auto"/>
            </w:tcBorders>
          </w:tcPr>
          <w:p>
            <w:pPr>
              <w:spacing w:before="0" w:after="0" w:line="202" w:lineRule="exact"/>
              <w:ind w:left="17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9</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750" w:type="dxa"/>
            <w:tcBorders>
              <w:top w:val="nil" w:sz="6" w:space="0" w:color="auto"/>
              <w:left w:val="nil" w:sz="6" w:space="0" w:color="auto"/>
              <w:bottom w:val="nil" w:sz="6" w:space="0" w:color="auto"/>
              <w:right w:val="nil" w:sz="6" w:space="0" w:color="auto"/>
            </w:tcBorders>
          </w:tcPr>
          <w:p>
            <w:pPr>
              <w:spacing w:before="0" w:after="0" w:line="202" w:lineRule="exact"/>
              <w:ind w:left="13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81" w:type="dxa"/>
            <w:tcBorders>
              <w:top w:val="nil" w:sz="6" w:space="0" w:color="auto"/>
              <w:left w:val="nil" w:sz="6" w:space="0" w:color="auto"/>
              <w:bottom w:val="nil" w:sz="6" w:space="0" w:color="auto"/>
              <w:right w:val="nil" w:sz="6" w:space="0" w:color="auto"/>
            </w:tcBorders>
          </w:tcPr>
          <w:p>
            <w:pPr>
              <w:spacing w:before="0" w:after="0" w:line="202" w:lineRule="exact"/>
              <w:ind w:left="14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7" w:type="dxa"/>
            <w:tcBorders>
              <w:top w:val="nil" w:sz="6" w:space="0" w:color="auto"/>
              <w:left w:val="nil" w:sz="6" w:space="0" w:color="auto"/>
              <w:bottom w:val="nil" w:sz="6" w:space="0" w:color="auto"/>
              <w:right w:val="nil" w:sz="6" w:space="0" w:color="auto"/>
            </w:tcBorders>
          </w:tcPr>
          <w:p>
            <w:pPr>
              <w:spacing w:before="0" w:after="0" w:line="202" w:lineRule="exact"/>
              <w:ind w:left="14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r>
    </w:tbl>
    <w:p>
      <w:pPr>
        <w:spacing w:before="53" w:after="0" w:line="233" w:lineRule="exact"/>
        <w:ind w:left="2235" w:right="-20"/>
        <w:jc w:val="left"/>
        <w:rPr>
          <w:rFonts w:ascii="Arial Unicode MS" w:hAnsi="Arial Unicode MS" w:cs="Arial Unicode MS" w:eastAsia="Arial Unicode MS"/>
          <w:sz w:val="14"/>
          <w:szCs w:val="14"/>
        </w:rPr>
      </w:pPr>
      <w:r>
        <w:rPr/>
        <w:pict>
          <v:group style="position:absolute;margin-left:144.770004pt;margin-top:24.078173pt;width:411.75pt;height:.13pt;mso-position-horizontal-relative:page;mso-position-vertical-relative:paragraph;z-index:-502" coordorigin="2895,482" coordsize="8235,3">
            <v:shape style="position:absolute;left:2895;top:482;width:8235;height:3" coordorigin="2895,482" coordsize="8235,3" path="m2895,482l11130,484e" filled="f" stroked="t" strokeweight="1.5pt" strokecolor="#000000">
              <v:path arrowok="t"/>
            </v:shape>
            <w10:wrap type="none"/>
          </v:group>
        </w:pict>
      </w:r>
      <w:r>
        <w:rPr>
          <w:rFonts w:ascii="Arial Unicode MS" w:hAnsi="Arial Unicode MS" w:cs="Arial Unicode MS" w:eastAsia="Arial Unicode MS"/>
          <w:spacing w:val="0"/>
          <w:w w:val="100"/>
          <w:position w:val="-1"/>
          <w:sz w:val="14"/>
          <w:szCs w:val="14"/>
        </w:rPr>
        <w:t>注解</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14"/>
          <w:w w:val="100"/>
          <w:position w:val="-1"/>
          <w:sz w:val="14"/>
          <w:szCs w:val="14"/>
        </w:rPr>
        <w:t> </w:t>
      </w:r>
      <w:r>
        <w:rPr>
          <w:rFonts w:ascii="Arial Unicode MS" w:hAnsi="Arial Unicode MS" w:cs="Arial Unicode MS" w:eastAsia="Arial Unicode MS"/>
          <w:spacing w:val="0"/>
          <w:w w:val="100"/>
          <w:position w:val="-1"/>
          <w:sz w:val="14"/>
          <w:szCs w:val="14"/>
        </w:rPr>
        <w:t>所述的混合后施工时间、干燥时间和复涂间隔数据，是指常温品种。有关低温型产品的数据，参见单独的产品说明书。</w:t>
      </w:r>
      <w:r>
        <w:rPr>
          <w:rFonts w:ascii="Arial Unicode MS" w:hAnsi="Arial Unicode MS" w:cs="Arial Unicode MS" w:eastAsia="Arial Unicode MS"/>
          <w:spacing w:val="0"/>
          <w:w w:val="100"/>
          <w:position w:val="0"/>
          <w:sz w:val="14"/>
          <w:szCs w:val="14"/>
        </w:rPr>
      </w:r>
    </w:p>
    <w:p>
      <w:pPr>
        <w:spacing w:before="8" w:after="0" w:line="280" w:lineRule="exact"/>
        <w:jc w:val="left"/>
        <w:rPr>
          <w:sz w:val="28"/>
          <w:szCs w:val="28"/>
        </w:rPr>
      </w:pPr>
      <w:r>
        <w:rPr>
          <w:sz w:val="28"/>
          <w:szCs w:val="28"/>
        </w:rPr>
      </w:r>
    </w:p>
    <w:p>
      <w:pPr>
        <w:spacing w:line="280" w:lineRule="exact" w:after="0"/>
        <w:jc w:val="left"/>
        <w:rPr>
          <w:sz w:val="28"/>
          <w:szCs w:val="28"/>
        </w:rPr>
        <w:sectPr>
          <w:type w:val="continuous"/>
          <w:pgSz w:w="11900" w:h="16820"/>
          <w:pgMar w:top="1040" w:bottom="1780" w:left="620" w:right="540"/>
        </w:sectPr>
      </w:pPr>
    </w:p>
    <w:p>
      <w:pPr>
        <w:tabs>
          <w:tab w:pos="2380" w:val="left"/>
        </w:tabs>
        <w:spacing w:before="0" w:after="0" w:line="299" w:lineRule="exact"/>
        <w:ind w:left="137" w:right="-73"/>
        <w:jc w:val="left"/>
        <w:rPr>
          <w:rFonts w:ascii="Arial Unicode MS" w:hAnsi="Arial Unicode MS" w:cs="Arial Unicode MS" w:eastAsia="Arial Unicode MS"/>
          <w:sz w:val="22"/>
          <w:szCs w:val="22"/>
        </w:rPr>
      </w:pPr>
      <w:r>
        <w:rPr/>
        <w:pict>
          <v:group style="position:absolute;margin-left:37.849998pt;margin-top:2.501924pt;width:525.6pt;height:43.595pt;mso-position-horizontal-relative:page;mso-position-vertical-relative:paragraph;z-index:-500" coordorigin="757,50" coordsize="10512,872">
            <v:shape style="position:absolute;left:757;top:50;width:10512;height:872" coordorigin="757,50" coordsize="10512,872" path="m757,922l11269,922,11269,50,757,50,757,922xe" filled="t" fillcolor="#D2D2D2" stroked="f">
              <v:path arrowok="t"/>
              <v:fill/>
            </v:shape>
            <w10:wrap type="none"/>
          </v:group>
        </w:pict>
      </w:r>
      <w:r>
        <w:rPr>
          <w:rFonts w:ascii="Arial Unicode MS" w:hAnsi="Arial Unicode MS" w:cs="Arial Unicode MS" w:eastAsia="Arial Unicode MS"/>
          <w:spacing w:val="0"/>
          <w:w w:val="100"/>
          <w:sz w:val="22"/>
          <w:szCs w:val="22"/>
        </w:rPr>
        <w:t>法定数据</w:t>
        <w:tab/>
      </w:r>
      <w:r>
        <w:rPr>
          <w:rFonts w:ascii="Arial Unicode MS" w:hAnsi="Arial Unicode MS" w:cs="Arial Unicode MS" w:eastAsia="Arial Unicode MS"/>
          <w:spacing w:val="0"/>
          <w:w w:val="100"/>
          <w:sz w:val="22"/>
          <w:szCs w:val="22"/>
        </w:rPr>
        <w:t>挥发性有机化合物</w:t>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279</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克/公升(原装涂料)</w:t>
      </w:r>
      <w:r>
        <w:rPr>
          <w:rFonts w:ascii="Arial Unicode MS" w:hAnsi="Arial Unicode MS" w:cs="Arial Unicode MS" w:eastAsia="Arial Unicode MS"/>
          <w:spacing w:val="-13"/>
          <w:w w:val="100"/>
          <w:sz w:val="16"/>
          <w:szCs w:val="16"/>
        </w:rPr>
        <w:t> </w:t>
      </w:r>
      <w:r>
        <w:rPr>
          <w:rFonts w:ascii="Arial Unicode MS" w:hAnsi="Arial Unicode MS" w:cs="Arial Unicode MS" w:eastAsia="Arial Unicode MS"/>
          <w:spacing w:val="0"/>
          <w:w w:val="100"/>
          <w:sz w:val="16"/>
          <w:szCs w:val="16"/>
        </w:rPr>
        <w:t>(EPA</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方法</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24)</w:t>
      </w:r>
    </w:p>
    <w:p>
      <w:pPr>
        <w:spacing w:before="0" w:after="0" w:line="203"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16"/>
          <w:szCs w:val="16"/>
        </w:rPr>
        <w:t>229</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99"/>
          <w:position w:val="0"/>
          <w:sz w:val="16"/>
          <w:szCs w:val="16"/>
        </w:rPr>
        <w:t>克/千克(原装液体油漆)。欧盟溶剂排放指导</w:t>
      </w:r>
      <w:r>
        <w:rPr>
          <w:rFonts w:ascii="Arial Unicode MS" w:hAnsi="Arial Unicode MS" w:cs="Arial Unicode MS" w:eastAsia="Arial Unicode MS"/>
          <w:spacing w:val="0"/>
          <w:w w:val="99"/>
          <w:position w:val="0"/>
          <w:sz w:val="16"/>
          <w:szCs w:val="16"/>
        </w:rPr>
        <w:t> </w:t>
      </w:r>
      <w:r>
        <w:rPr>
          <w:rFonts w:ascii="Arial Unicode MS" w:hAnsi="Arial Unicode MS" w:cs="Arial Unicode MS" w:eastAsia="Arial Unicode MS"/>
          <w:spacing w:val="0"/>
          <w:w w:val="100"/>
          <w:position w:val="0"/>
          <w:sz w:val="16"/>
          <w:szCs w:val="16"/>
        </w:rPr>
        <w:t>(委员会指导</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1999/13/EC)</w:t>
      </w:r>
      <w:r>
        <w:rPr>
          <w:rFonts w:ascii="Arial Unicode MS" w:hAnsi="Arial Unicode MS" w:cs="Arial Unicode MS" w:eastAsia="Arial Unicode MS"/>
          <w:spacing w:val="0"/>
          <w:w w:val="100"/>
          <w:position w:val="0"/>
          <w:sz w:val="16"/>
          <w:szCs w:val="16"/>
        </w:rPr>
      </w:r>
    </w:p>
    <w:p>
      <w:pPr>
        <w:spacing w:line="203"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4148" w:space="669"/>
            <w:col w:w="5923"/>
          </w:cols>
        </w:sectPr>
      </w:pPr>
    </w:p>
    <w:p>
      <w:pPr>
        <w:spacing w:before="15" w:after="0" w:line="185" w:lineRule="auto"/>
        <w:ind w:left="2388" w:right="45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挥发性有机化合物值是典型值，仅提供用来作为参考。它们可能会随着诸如颜色和常规制造误差之类因素的改变</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而发生变化。</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sectPr>
      </w:pPr>
    </w:p>
    <w:p>
      <w:pPr>
        <w:tabs>
          <w:tab w:pos="2260" w:val="left"/>
        </w:tabs>
        <w:spacing w:before="37" w:after="0" w:line="240" w:lineRule="auto"/>
        <w:ind w:left="100" w:right="4066"/>
        <w:jc w:val="center"/>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证书</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当作为已核准的方案的一部分使用时，该涂料具有下列证书：</w:t>
      </w:r>
    </w:p>
    <w:p>
      <w:pPr>
        <w:spacing w:before="85" w:after="0" w:line="240" w:lineRule="auto"/>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食品接触－装载谷物</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(NOHA)</w:t>
      </w:r>
      <w:r>
        <w:rPr>
          <w:rFonts w:ascii="Arial Unicode MS" w:hAnsi="Arial Unicode MS" w:cs="Arial Unicode MS" w:eastAsia="Arial Unicode MS"/>
          <w:spacing w:val="0"/>
          <w:w w:val="10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食品接触</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符合美国食品及药物管理局的规定：干食</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耐火性－符合低播焰要求</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(WFR)－(IMO</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Resolution</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A653</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(16))</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耐火性－符合“海洋设备指导”的规定</w:t>
      </w:r>
    </w:p>
    <w:p>
      <w:pPr>
        <w:spacing w:before="2" w:after="0" w:line="150" w:lineRule="exact"/>
        <w:jc w:val="left"/>
        <w:rPr>
          <w:sz w:val="15"/>
          <w:szCs w:val="15"/>
        </w:rPr>
      </w:pPr>
      <w:r>
        <w:rPr>
          <w:sz w:val="15"/>
          <w:szCs w:val="15"/>
        </w:rPr>
      </w:r>
    </w:p>
    <w:p>
      <w:pPr>
        <w:spacing w:before="0" w:after="0" w:line="266" w:lineRule="exact"/>
        <w:ind w:left="2297" w:right="-20"/>
        <w:jc w:val="left"/>
        <w:rPr>
          <w:rFonts w:ascii="Arial Unicode MS" w:hAnsi="Arial Unicode MS" w:cs="Arial Unicode MS" w:eastAsia="Arial Unicode MS"/>
          <w:sz w:val="16"/>
          <w:szCs w:val="16"/>
        </w:rPr>
      </w:pPr>
      <w:r>
        <w:rPr/>
        <w:pict>
          <v:group style="position:absolute;margin-left:145.850006pt;margin-top:19.073936pt;width:409.5pt;height:.1pt;mso-position-horizontal-relative:page;mso-position-vertical-relative:paragraph;z-index:-499" coordorigin="2917,381" coordsize="8190,2">
            <v:shape style="position:absolute;left:2917;top:381;width:8190;height:2" coordorigin="2917,381" coordsize="8190,0" path="m2917,381l11107,381e" filled="f" stroked="t" strokeweight="1.5pt" strokecolor="#000000">
              <v:path arrowok="t"/>
            </v:shape>
            <w10:wrap type="none"/>
          </v:group>
        </w:pict>
      </w:r>
      <w:r>
        <w:rPr>
          <w:rFonts w:ascii="Arial Unicode MS" w:hAnsi="Arial Unicode MS" w:cs="Arial Unicode MS" w:eastAsia="Arial Unicode MS"/>
          <w:spacing w:val="0"/>
          <w:w w:val="100"/>
          <w:position w:val="-1"/>
          <w:sz w:val="16"/>
          <w:szCs w:val="16"/>
        </w:rPr>
        <w:t>有关详细情况，请向贵处的国际油漆</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(International</w:t>
      </w:r>
      <w:r>
        <w:rPr>
          <w:rFonts w:ascii="Arial Unicode MS" w:hAnsi="Arial Unicode MS" w:cs="Arial Unicode MS" w:eastAsia="Arial Unicode MS"/>
          <w:spacing w:val="-9"/>
          <w:w w:val="100"/>
          <w:position w:val="-1"/>
          <w:sz w:val="16"/>
          <w:szCs w:val="16"/>
        </w:rPr>
        <w:t> </w:t>
      </w:r>
      <w:r>
        <w:rPr>
          <w:rFonts w:ascii="Arial Unicode MS" w:hAnsi="Arial Unicode MS" w:cs="Arial Unicode MS" w:eastAsia="Arial Unicode MS"/>
          <w:spacing w:val="0"/>
          <w:w w:val="100"/>
          <w:position w:val="-1"/>
          <w:sz w:val="16"/>
          <w:szCs w:val="16"/>
        </w:rPr>
        <w:t>Paint)</w:t>
      </w:r>
      <w:r>
        <w:rPr>
          <w:rFonts w:ascii="Arial Unicode MS" w:hAnsi="Arial Unicode MS" w:cs="Arial Unicode MS" w:eastAsia="Arial Unicode MS"/>
          <w:spacing w:val="-4"/>
          <w:w w:val="100"/>
          <w:position w:val="-1"/>
          <w:sz w:val="16"/>
          <w:szCs w:val="16"/>
        </w:rPr>
        <w:t> </w:t>
      </w:r>
      <w:r>
        <w:rPr>
          <w:rFonts w:ascii="Arial Unicode MS" w:hAnsi="Arial Unicode MS" w:cs="Arial Unicode MS" w:eastAsia="Arial Unicode MS"/>
          <w:spacing w:val="0"/>
          <w:w w:val="100"/>
          <w:position w:val="-1"/>
          <w:sz w:val="16"/>
          <w:szCs w:val="16"/>
        </w:rPr>
        <w:t>代表咨询。</w:t>
      </w:r>
      <w:r>
        <w:rPr>
          <w:rFonts w:ascii="Arial Unicode MS" w:hAnsi="Arial Unicode MS" w:cs="Arial Unicode MS" w:eastAsia="Arial Unicode MS"/>
          <w:spacing w:val="0"/>
          <w:w w:val="100"/>
          <w:position w:val="0"/>
          <w:sz w:val="16"/>
          <w:szCs w:val="16"/>
        </w:rPr>
      </w:r>
    </w:p>
    <w:p>
      <w:pPr>
        <w:spacing w:before="0" w:after="0" w:line="190" w:lineRule="exact"/>
        <w:jc w:val="left"/>
        <w:rPr>
          <w:sz w:val="19"/>
          <w:szCs w:val="19"/>
        </w:rPr>
      </w:pPr>
      <w:r>
        <w:rPr>
          <w:sz w:val="19"/>
          <w:szCs w:val="19"/>
        </w:rPr>
      </w:r>
    </w:p>
    <w:p>
      <w:pPr>
        <w:spacing w:line="190" w:lineRule="exact" w:after="0"/>
        <w:jc w:val="left"/>
        <w:rPr>
          <w:sz w:val="19"/>
          <w:szCs w:val="19"/>
        </w:rPr>
        <w:sectPr>
          <w:pgSz w:w="11900" w:h="16820"/>
          <w:pgMar w:header="299" w:footer="1582" w:top="1040" w:bottom="1780" w:left="620" w:right="540"/>
        </w:sectPr>
      </w:pPr>
    </w:p>
    <w:p>
      <w:pPr>
        <w:spacing w:before="0" w:after="0" w:line="299"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体系及配套性</w:t>
      </w:r>
    </w:p>
    <w:p>
      <w:pPr>
        <w:spacing w:before="7" w:after="0" w:line="185" w:lineRule="auto"/>
        <w:ind w:right="238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有关最适于待保护表面的漆系，请向贵处的国际油漆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用于货舱时，请参阅</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货舱施工程序。</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458" w:space="877"/>
            <w:col w:w="8405"/>
          </w:cols>
        </w:sectPr>
      </w:pPr>
    </w:p>
    <w:p>
      <w:pPr>
        <w:spacing w:before="9" w:after="0" w:line="160" w:lineRule="exact"/>
        <w:jc w:val="left"/>
        <w:rPr>
          <w:sz w:val="16"/>
          <w:szCs w:val="16"/>
        </w:rPr>
      </w:pPr>
      <w:r>
        <w:rPr>
          <w:sz w:val="16"/>
          <w:szCs w:val="16"/>
        </w:rPr>
      </w:r>
    </w:p>
    <w:p>
      <w:pPr>
        <w:spacing w:line="160" w:lineRule="exact" w:after="0"/>
        <w:jc w:val="left"/>
        <w:rPr>
          <w:sz w:val="16"/>
          <w:szCs w:val="16"/>
        </w:rPr>
        <w:sectPr>
          <w:type w:val="continuous"/>
          <w:pgSz w:w="11900" w:h="16820"/>
          <w:pgMar w:top="1040" w:bottom="1780" w:left="620" w:right="540"/>
        </w:sectPr>
      </w:pPr>
    </w:p>
    <w:p>
      <w:pPr>
        <w:spacing w:before="0" w:after="0" w:line="299" w:lineRule="exact"/>
        <w:ind w:left="137" w:right="-73"/>
        <w:jc w:val="left"/>
        <w:rPr>
          <w:rFonts w:ascii="Arial Unicode MS" w:hAnsi="Arial Unicode MS" w:cs="Arial Unicode MS" w:eastAsia="Arial Unicode MS"/>
          <w:sz w:val="22"/>
          <w:szCs w:val="22"/>
        </w:rPr>
      </w:pPr>
      <w:r>
        <w:rPr/>
        <w:pict>
          <v:group style="position:absolute;margin-left:145.570007pt;margin-top:-3.751876pt;width:414.0pt;height:.1pt;mso-position-horizontal-relative:page;mso-position-vertical-relative:paragraph;z-index:-498" coordorigin="2911,-75" coordsize="8280,2">
            <v:shape style="position:absolute;left:2911;top:-75;width:8280;height:2" coordorigin="2911,-75" coordsize="8280,0" path="m2911,-75l11191,-75e" filled="f" stroked="t" strokeweight="1.5pt" strokecolor="#000000">
              <v:path arrowok="t"/>
            </v:shape>
            <w10:wrap type="none"/>
          </v:group>
        </w:pict>
      </w:r>
      <w:r>
        <w:rPr>
          <w:rFonts w:ascii="Arial Unicode MS" w:hAnsi="Arial Unicode MS" w:cs="Arial Unicode MS" w:eastAsia="Arial Unicode MS"/>
          <w:spacing w:val="0"/>
          <w:w w:val="100"/>
          <w:sz w:val="22"/>
          <w:szCs w:val="22"/>
        </w:rPr>
        <w:t>表面处理</w:t>
      </w:r>
    </w:p>
    <w:p>
      <w:pPr>
        <w:spacing w:before="7" w:after="0" w:line="185" w:lineRule="auto"/>
        <w:ind w:right="3623"/>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99"/>
          <w:sz w:val="16"/>
          <w:szCs w:val="16"/>
        </w:rPr>
        <w:t>按照标准的“全球海洋规则(Worldwide</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Marine</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Specifications)”使用。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所有待涂表面应清洁、干燥且无污染物。</w:t>
      </w:r>
    </w:p>
    <w:p>
      <w:pPr>
        <w:spacing w:before="0" w:after="0" w:line="185" w:lineRule="auto"/>
        <w:ind w:right="20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采用高压淡水冲洗或一般淡水冲洗，以合适为准，并按照</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SSPC－SP1</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溶剂清理标准除去所有油或油脂、可溶性污染</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物以及其它外来物质。</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018" w:space="1274"/>
            <w:col w:w="8448"/>
          </w:cols>
        </w:sectPr>
      </w:pPr>
    </w:p>
    <w:p>
      <w:pPr>
        <w:spacing w:before="18" w:after="0" w:line="260" w:lineRule="exact"/>
        <w:jc w:val="left"/>
        <w:rPr>
          <w:sz w:val="26"/>
          <w:szCs w:val="26"/>
        </w:rPr>
      </w:pPr>
      <w:r>
        <w:rPr>
          <w:sz w:val="26"/>
          <w:szCs w:val="26"/>
        </w:rPr>
      </w:r>
    </w:p>
    <w:p>
      <w:pPr>
        <w:spacing w:before="0" w:after="0" w:line="231"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大修</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磨料喷砂清理至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99"/>
          <w:sz w:val="16"/>
          <w:szCs w:val="16"/>
        </w:rPr>
        <w:t>8501-1:2007)标准。如果在喷砂和施工</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之间已发生氧化，表面应再行喷砂处</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理至规定的图片标准。</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喷砂清理过程中暴露出来的表面缺陷，应打磨、嵌填或采用合适的方法进行处理。</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可施工在处理至国际油漆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超高压水清理标准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HB2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的表面上，闪锈应不低于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HB2M</w:t>
      </w:r>
      <w:r>
        <w:rPr>
          <w:rFonts w:ascii="Arial Unicode MS" w:hAnsi="Arial Unicode MS" w:cs="Arial Unicode MS" w:eastAsia="Arial Unicode MS"/>
          <w:spacing w:val="0"/>
          <w:w w:val="10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标准。</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维修/在航保养－曝露的钢材及腐蚀：</w:t>
      </w:r>
      <w:r>
        <w:rPr>
          <w:rFonts w:ascii="Arial Unicode MS" w:hAnsi="Arial Unicode MS" w:cs="Arial Unicode MS" w:eastAsia="Arial Unicode MS"/>
          <w:spacing w:val="0"/>
          <w:w w:val="10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手动或动力工具清理至少至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St2</w:t>
      </w:r>
      <w:r>
        <w:rPr>
          <w:rFonts w:ascii="Arial Unicode MS" w:hAnsi="Arial Unicode MS" w:cs="Arial Unicode MS" w:eastAsia="Arial Unicode MS"/>
          <w:spacing w:val="-2"/>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标准。注：必须除去所有氧化皮，不能采用敲铲或针枪合适处理的</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区域，应局部喷砂至少至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8501-1:2001)</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标准。一般说来，该方法适用于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C</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级或</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D</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级钢材。</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或者</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磨料喷砂清理至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99"/>
          <w:sz w:val="16"/>
          <w:szCs w:val="16"/>
        </w:rPr>
        <w:t>8501-1:2007)标准。如果在喷砂和施工</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之间已发生氧化，表面应再</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行喷砂至规定的图片标准。</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喷砂清理过程中暴露出来的表面缺陷，应打磨、嵌填或采用合适的方法进行处理。</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或者</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可施工在处理至“国际油漆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超高压水清理标准”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HB2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的表面上，闪锈应不低</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HB2M</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标准。</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适于搭接施工在大多数旧涂层体系上。疏松或片状脱落的涂层应铲除至牢固边缘，且</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应</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搭接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2－3厘米（1英寸）施工在现有涂层上。有光环氧和聚氨酯可能需要进行打磨。</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完整涂层：</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该产品可作为统涂涂层施工在大多数至少已有3个月漆龄、一般类型的旧涂层上。建议在某种一般类型的涂层上施工统</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涂涂层时，先进行小样试验。关于可接受的涂层类型和所需的表面处理程度，请向国际油漆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咨</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询。</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控制精确的漆膜厚度至关重要，特别是在复涂现有涂层体系时。</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湿舱</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磨料喷砂清理至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Sa2.5</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标准。</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或者</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可施工在处理至“国际油漆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超高压水清理标准”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HB2.5</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的表面上，闪锈应不</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低于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HB2.5L</w:t>
      </w:r>
      <w:r>
        <w:rPr>
          <w:rFonts w:ascii="Arial Unicode MS" w:hAnsi="Arial Unicode MS" w:cs="Arial Unicode MS" w:eastAsia="Arial Unicode MS"/>
          <w:spacing w:val="-5"/>
          <w:w w:val="100"/>
          <w:sz w:val="16"/>
          <w:szCs w:val="16"/>
        </w:rPr>
        <w:t> </w:t>
      </w:r>
      <w:r>
        <w:rPr>
          <w:rFonts w:ascii="Arial Unicode MS" w:hAnsi="Arial Unicode MS" w:cs="Arial Unicode MS" w:eastAsia="Arial Unicode MS"/>
          <w:spacing w:val="0"/>
          <w:w w:val="100"/>
          <w:sz w:val="16"/>
          <w:szCs w:val="16"/>
        </w:rPr>
        <w:t>标准。</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关于维修/在航保养时进行复涂的注意事项</w:t>
      </w:r>
      <w:r>
        <w:rPr>
          <w:rFonts w:ascii="Arial Unicode MS" w:hAnsi="Arial Unicode MS" w:cs="Arial Unicode MS" w:eastAsia="Arial Unicode MS"/>
          <w:spacing w:val="0"/>
          <w:w w:val="10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Interthane</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990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可施工在经风蚀(粉化)的、漆龄多于3个月的</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常温品种涂层上，条件是表面需经淡水冲洗</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99"/>
          <w:sz w:val="16"/>
          <w:szCs w:val="16"/>
        </w:rPr>
        <w:t>处理，以除去所有污垢和污染物，随后再按照“SSPC－SP1溶剂清理”标准除去油脂。Interthane</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990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不应用于复涂</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99"/>
          <w:sz w:val="16"/>
          <w:szCs w:val="16"/>
        </w:rPr>
        <w:t>低温品种。为获得良好的装饰性能，Interbond</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低温品种应采用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Intergard</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740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或</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Intersheen</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579</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进</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行复涂。</w:t>
      </w:r>
    </w:p>
    <w:p>
      <w:pPr>
        <w:spacing w:before="2" w:after="0" w:line="150" w:lineRule="exact"/>
        <w:jc w:val="left"/>
        <w:rPr>
          <w:sz w:val="15"/>
          <w:szCs w:val="15"/>
        </w:rPr>
      </w:pPr>
      <w:r>
        <w:rPr>
          <w:sz w:val="15"/>
          <w:szCs w:val="15"/>
        </w:rPr>
      </w:r>
    </w:p>
    <w:p>
      <w:pPr>
        <w:spacing w:before="0" w:after="0" w:line="240" w:lineRule="auto"/>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有关特殊建议，请向贵处的国际油漆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w:t>
      </w:r>
    </w:p>
    <w:p>
      <w:pPr>
        <w:spacing w:before="61" w:after="0" w:line="185" w:lineRule="auto"/>
        <w:ind w:left="2297" w:right="454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注意事项</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用于北美地区的海洋环境，可采用下列表面处理标准：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SSPC-SP10</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代替</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Sa2.5</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0"/>
          <w:w w:val="100"/>
          <w:sz w:val="16"/>
          <w:szCs w:val="16"/>
        </w:rPr>
      </w:r>
    </w:p>
    <w:p>
      <w:pPr>
        <w:spacing w:before="0" w:after="0" w:line="185" w:lineRule="auto"/>
        <w:ind w:left="2297" w:right="5529"/>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SSPC-SP6</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代替</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SSPC-SP2</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代替</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St2</w:t>
      </w:r>
      <w:r>
        <w:rPr>
          <w:rFonts w:ascii="Arial Unicode MS" w:hAnsi="Arial Unicode MS" w:cs="Arial Unicode MS" w:eastAsia="Arial Unicode MS"/>
          <w:spacing w:val="-2"/>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0"/>
          <w:w w:val="100"/>
          <w:sz w:val="16"/>
          <w:szCs w:val="16"/>
        </w:rPr>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sectPr>
      </w:pPr>
    </w:p>
    <w:p>
      <w:pPr>
        <w:spacing w:before="39" w:after="0" w:line="274" w:lineRule="auto"/>
        <w:ind w:left="137" w:right="58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施工</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混合</w:t>
      </w:r>
    </w:p>
    <w:p>
      <w:pPr>
        <w:spacing w:before="0" w:after="0" w:line="180" w:lineRule="exact"/>
        <w:jc w:val="left"/>
        <w:rPr>
          <w:sz w:val="18"/>
          <w:szCs w:val="18"/>
        </w:rPr>
      </w:pPr>
      <w:r>
        <w:rPr>
          <w:sz w:val="18"/>
          <w:szCs w:val="18"/>
        </w:rPr>
      </w:r>
    </w:p>
    <w:p>
      <w:pPr>
        <w:spacing w:before="0" w:after="0" w:line="200" w:lineRule="exact"/>
        <w:jc w:val="left"/>
        <w:rPr>
          <w:sz w:val="20"/>
          <w:szCs w:val="20"/>
        </w:rPr>
      </w:pPr>
      <w:r>
        <w:rPr>
          <w:sz w:val="20"/>
          <w:szCs w:val="20"/>
        </w:rPr>
      </w:r>
    </w:p>
    <w:p>
      <w:pPr>
        <w:spacing w:before="0" w:after="0" w:line="324" w:lineRule="auto"/>
        <w:ind w:left="137" w:right="14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稀释剂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无气喷涂</w:t>
      </w:r>
    </w:p>
    <w:p>
      <w:pPr>
        <w:spacing w:before="18" w:after="0" w:line="240" w:lineRule="exact"/>
        <w:jc w:val="left"/>
        <w:rPr>
          <w:sz w:val="24"/>
          <w:szCs w:val="24"/>
        </w:rPr>
      </w:pPr>
      <w:r>
        <w:rPr>
          <w:sz w:val="24"/>
          <w:szCs w:val="24"/>
        </w:rPr>
      </w:r>
    </w:p>
    <w:p>
      <w:pPr>
        <w:spacing w:before="0" w:after="0" w:line="366" w:lineRule="exact"/>
        <w:ind w:left="137"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传统型喷涂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刷涂</w:t>
      </w:r>
    </w:p>
    <w:p>
      <w:pPr>
        <w:spacing w:before="0" w:after="0" w:line="352" w:lineRule="exact"/>
        <w:ind w:left="137"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漆辊</w:t>
      </w:r>
      <w:r>
        <w:rPr>
          <w:rFonts w:ascii="Arial Unicode MS" w:hAnsi="Arial Unicode MS" w:cs="Arial Unicode MS" w:eastAsia="Arial Unicode MS"/>
          <w:spacing w:val="0"/>
          <w:w w:val="100"/>
          <w:position w:val="0"/>
          <w:sz w:val="22"/>
          <w:szCs w:val="22"/>
        </w:rPr>
      </w:r>
    </w:p>
    <w:p>
      <w:pPr>
        <w:spacing w:before="30" w:after="0" w:line="366" w:lineRule="exact"/>
        <w:ind w:left="137"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2"/>
          <w:sz w:val="22"/>
          <w:szCs w:val="22"/>
        </w:rPr>
        <w:t>清洁剂</w:t>
      </w:r>
      <w:r>
        <w:rPr>
          <w:rFonts w:ascii="Arial Unicode MS" w:hAnsi="Arial Unicode MS" w:cs="Arial Unicode MS" w:eastAsia="Arial Unicode MS"/>
          <w:spacing w:val="0"/>
          <w:w w:val="100"/>
          <w:position w:val="0"/>
          <w:sz w:val="22"/>
          <w:szCs w:val="22"/>
        </w:rPr>
      </w:r>
    </w:p>
    <w:p>
      <w:pPr>
        <w:spacing w:before="5" w:after="0" w:line="160" w:lineRule="exact"/>
        <w:jc w:val="left"/>
        <w:rPr>
          <w:sz w:val="16"/>
          <w:szCs w:val="16"/>
        </w:rPr>
      </w:pPr>
      <w:r>
        <w:rPr/>
        <w:br w:type="column"/>
      </w:r>
      <w:r>
        <w:rPr>
          <w:sz w:val="16"/>
          <w:szCs w:val="16"/>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185" w:lineRule="auto"/>
        <w:ind w:left="30" w:right="2662"/>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涂料分装在两个容器中，作为一组供应。使用时应始终按供应的比例整组混合。</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(1)采用电动搅拌器搅拌基料(甲组份)。</w:t>
      </w:r>
    </w:p>
    <w:p>
      <w:pPr>
        <w:spacing w:before="0" w:after="0" w:line="224" w:lineRule="exact"/>
        <w:ind w:left="30"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(2)</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混合全部固化剂</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(乙组份)与基料</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(甲组份)，并采用电动搅拌器彻底搅拌。</w:t>
      </w:r>
    </w:p>
    <w:p>
      <w:pPr>
        <w:spacing w:before="1" w:after="0" w:line="150" w:lineRule="exact"/>
        <w:jc w:val="left"/>
        <w:rPr>
          <w:sz w:val="15"/>
          <w:szCs w:val="15"/>
        </w:rPr>
      </w:pPr>
      <w:r>
        <w:rPr>
          <w:sz w:val="15"/>
          <w:szCs w:val="15"/>
        </w:rPr>
      </w:r>
    </w:p>
    <w:p>
      <w:pPr>
        <w:spacing w:before="0" w:after="0" w:line="185" w:lineRule="auto"/>
        <w:ind w:left="15" w:right="224"/>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不推荐使用。仅在特殊情况下，采用国际牌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GTA220</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(以体积计，最高量为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5%）。稀释不要超过当地环保法规所允</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许的范围。</w:t>
      </w:r>
    </w:p>
    <w:p>
      <w:pPr>
        <w:spacing w:before="34" w:after="0" w:line="240" w:lineRule="auto"/>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推荐使用</w:t>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喷嘴尺寸</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0.53-0.84</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毫米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(21-33</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thou)</w:t>
      </w:r>
      <w:r>
        <w:rPr>
          <w:rFonts w:ascii="Arial Unicode MS" w:hAnsi="Arial Unicode MS" w:cs="Arial Unicode MS" w:eastAsia="Arial Unicode MS"/>
          <w:spacing w:val="0"/>
          <w:w w:val="100"/>
          <w:sz w:val="16"/>
          <w:szCs w:val="16"/>
        </w:rPr>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喷嘴处的输出流体总压力不低于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176</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246</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千克/厘米²</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(2500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3500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磅/平方英寸)</w:t>
      </w:r>
      <w:r>
        <w:rPr>
          <w:rFonts w:ascii="Arial Unicode MS" w:hAnsi="Arial Unicode MS" w:cs="Arial Unicode MS" w:eastAsia="Arial Unicode MS"/>
          <w:spacing w:val="0"/>
          <w:w w:val="100"/>
          <w:sz w:val="16"/>
          <w:szCs w:val="16"/>
        </w:rPr>
      </w:r>
    </w:p>
    <w:p>
      <w:pPr>
        <w:spacing w:before="8" w:after="0" w:line="316" w:lineRule="auto"/>
        <w:ind w:right="333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不推荐采用传统型喷涂方法进行施工。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刷涂施工仅建议用于小面积。可能需要多道涂层，以达到规定的膜厚。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推荐使用</w:t>
      </w:r>
    </w:p>
    <w:p>
      <w:pPr>
        <w:spacing w:before="66" w:after="0" w:line="240" w:lineRule="auto"/>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GTA220/GTA822</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headerReference w:type="default" r:id="rId7"/>
          <w:pgSz w:w="11900" w:h="16820"/>
          <w:pgMar w:header="299" w:footer="1582" w:top="1040" w:bottom="1780" w:left="620" w:right="540"/>
          <w:cols w:num="2" w:equalWidth="0">
            <w:col w:w="1238" w:space="1149"/>
            <w:col w:w="8353"/>
          </w:cols>
        </w:sectPr>
      </w:pPr>
    </w:p>
    <w:p>
      <w:pPr>
        <w:tabs>
          <w:tab w:pos="2380" w:val="left"/>
        </w:tabs>
        <w:spacing w:before="67" w:after="0" w:line="178" w:lineRule="auto"/>
        <w:ind w:left="2387" w:right="248" w:hanging="225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工作中止及清理</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不要让涂料残留在软管、喷枪或喷涂设备中。采用国际牌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GTA220/GTA822</w:t>
      </w:r>
      <w:r>
        <w:rPr>
          <w:rFonts w:ascii="Arial Unicode MS" w:hAnsi="Arial Unicode MS" w:cs="Arial Unicode MS" w:eastAsia="Arial Unicode MS"/>
          <w:spacing w:val="-12"/>
          <w:w w:val="100"/>
          <w:position w:val="0"/>
          <w:sz w:val="16"/>
          <w:szCs w:val="16"/>
        </w:rPr>
        <w:t> </w:t>
      </w:r>
      <w:r>
        <w:rPr>
          <w:rFonts w:ascii="Arial Unicode MS" w:hAnsi="Arial Unicode MS" w:cs="Arial Unicode MS" w:eastAsia="Arial Unicode MS"/>
          <w:spacing w:val="0"/>
          <w:w w:val="100"/>
          <w:position w:val="0"/>
          <w:sz w:val="16"/>
          <w:szCs w:val="16"/>
        </w:rPr>
        <w:t>彻底冲洗所有设备。一组油漆一经混</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合，不应再行密封，施工中如停顿时间过长，建议重新混合各组份，再开始施工。</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所有设备在使用后应立即采用国际牌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GTA220/GTA822</w:t>
      </w:r>
      <w:r>
        <w:rPr>
          <w:rFonts w:ascii="Arial Unicode MS" w:hAnsi="Arial Unicode MS" w:cs="Arial Unicode MS" w:eastAsia="Arial Unicode MS"/>
          <w:spacing w:val="-12"/>
          <w:w w:val="100"/>
          <w:position w:val="0"/>
          <w:sz w:val="16"/>
          <w:szCs w:val="16"/>
        </w:rPr>
        <w:t> </w:t>
      </w:r>
      <w:r>
        <w:rPr>
          <w:rFonts w:ascii="Arial Unicode MS" w:hAnsi="Arial Unicode MS" w:cs="Arial Unicode MS" w:eastAsia="Arial Unicode MS"/>
          <w:spacing w:val="0"/>
          <w:w w:val="100"/>
          <w:position w:val="0"/>
          <w:sz w:val="16"/>
          <w:szCs w:val="16"/>
        </w:rPr>
        <w:t>进行清洗。在一天的工作过程中定时冲洗喷涂设备是一种良</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好的工作习惯。清洗次数取决于喷涂数量、温度和使用时间(包括耽搁的时间)。不要超过涂料的混合后施工时间。</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所有剩余涂料和空容器应按照当地适宜的规章/法律进行处置。</w:t>
      </w:r>
      <w:r>
        <w:rPr>
          <w:rFonts w:ascii="Arial Unicode MS" w:hAnsi="Arial Unicode MS" w:cs="Arial Unicode MS" w:eastAsia="Arial Unicode MS"/>
          <w:spacing w:val="0"/>
          <w:w w:val="100"/>
          <w:position w:val="0"/>
          <w:sz w:val="16"/>
          <w:szCs w:val="16"/>
        </w:rPr>
      </w:r>
    </w:p>
    <w:p>
      <w:pPr>
        <w:spacing w:before="8" w:after="0" w:line="240" w:lineRule="exact"/>
        <w:jc w:val="left"/>
        <w:rPr>
          <w:sz w:val="24"/>
          <w:szCs w:val="24"/>
        </w:rPr>
      </w:pPr>
      <w:r>
        <w:rPr>
          <w:sz w:val="24"/>
          <w:szCs w:val="24"/>
        </w:rPr>
      </w:r>
    </w:p>
    <w:p>
      <w:pPr>
        <w:tabs>
          <w:tab w:pos="2360" w:val="left"/>
        </w:tabs>
        <w:spacing w:before="8" w:after="0" w:line="158" w:lineRule="auto"/>
        <w:ind w:left="2372" w:right="306" w:hanging="2235"/>
        <w:jc w:val="left"/>
        <w:rPr>
          <w:rFonts w:ascii="Arial Unicode MS" w:hAnsi="Arial Unicode MS" w:cs="Arial Unicode MS" w:eastAsia="Arial Unicode MS"/>
          <w:sz w:val="16"/>
          <w:szCs w:val="16"/>
        </w:rPr>
      </w:pPr>
      <w:r>
        <w:rPr/>
        <w:pict>
          <v:group style="position:absolute;margin-left:149.600006pt;margin-top:27.471294pt;width:405.75pt;height:.1pt;mso-position-horizontal-relative:page;mso-position-vertical-relative:paragraph;z-index:-497" coordorigin="2992,549" coordsize="8115,2">
            <v:shape style="position:absolute;left:2992;top:549;width:8115;height:2" coordorigin="2992,549" coordsize="8115,0" path="m2992,549l11107,549e" filled="f" stroked="t" strokeweight="1.5pt" strokecolor="#000000">
              <v:path arrowok="t"/>
            </v:shape>
            <w10:wrap type="none"/>
          </v:group>
        </w:pict>
      </w:r>
      <w:r>
        <w:rPr>
          <w:rFonts w:ascii="Arial Unicode MS" w:hAnsi="Arial Unicode MS" w:cs="Arial Unicode MS" w:eastAsia="Arial Unicode MS"/>
          <w:spacing w:val="0"/>
          <w:w w:val="100"/>
          <w:position w:val="-4"/>
          <w:sz w:val="22"/>
          <w:szCs w:val="22"/>
        </w:rPr>
        <w:t>焊接</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如果在涂有该产品的金属上进行焊接或火焰切割，会散发灰尘和烟雾，需使用合适的个人防护设备及局部通风排气</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设施。在北美，按照</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ANSI/ASC</w:t>
      </w:r>
      <w:r>
        <w:rPr>
          <w:rFonts w:ascii="Arial Unicode MS" w:hAnsi="Arial Unicode MS" w:cs="Arial Unicode MS" w:eastAsia="Arial Unicode MS"/>
          <w:spacing w:val="-7"/>
          <w:w w:val="100"/>
          <w:position w:val="0"/>
          <w:sz w:val="16"/>
          <w:szCs w:val="16"/>
        </w:rPr>
        <w:t> </w:t>
      </w:r>
      <w:r>
        <w:rPr>
          <w:rFonts w:ascii="Arial Unicode MS" w:hAnsi="Arial Unicode MS" w:cs="Arial Unicode MS" w:eastAsia="Arial Unicode MS"/>
          <w:spacing w:val="0"/>
          <w:w w:val="100"/>
          <w:position w:val="0"/>
          <w:sz w:val="16"/>
          <w:szCs w:val="16"/>
        </w:rPr>
        <w:t>Z49.1</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“焊接和切割中的安全事项”中的指示进行操作。</w:t>
      </w:r>
    </w:p>
    <w:p>
      <w:pPr>
        <w:spacing w:before="4" w:after="0" w:line="190" w:lineRule="exact"/>
        <w:jc w:val="left"/>
        <w:rPr>
          <w:sz w:val="19"/>
          <w:szCs w:val="19"/>
        </w:rPr>
      </w:pPr>
      <w:r>
        <w:rPr>
          <w:sz w:val="19"/>
          <w:szCs w:val="19"/>
        </w:rPr>
      </w:r>
    </w:p>
    <w:p>
      <w:pPr>
        <w:tabs>
          <w:tab w:pos="2240" w:val="left"/>
        </w:tabs>
        <w:spacing w:before="0" w:after="0" w:line="297" w:lineRule="exact"/>
        <w:ind w:left="100" w:right="872"/>
        <w:jc w:val="center"/>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安全</w:t>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所有与该产品的施工和使用有关的工作，均应按照国家关于健康、安全和环境保护方面的标准和规定进行。</w:t>
      </w:r>
      <w:r>
        <w:rPr>
          <w:rFonts w:ascii="Arial Unicode MS" w:hAnsi="Arial Unicode MS" w:cs="Arial Unicode MS" w:eastAsia="Arial Unicode MS"/>
          <w:spacing w:val="0"/>
          <w:w w:val="100"/>
          <w:position w:val="0"/>
          <w:sz w:val="16"/>
          <w:szCs w:val="16"/>
        </w:rPr>
      </w:r>
    </w:p>
    <w:p>
      <w:pPr>
        <w:spacing w:before="8" w:after="0" w:line="130" w:lineRule="exact"/>
        <w:jc w:val="left"/>
        <w:rPr>
          <w:sz w:val="13"/>
          <w:szCs w:val="13"/>
        </w:rPr>
      </w:pPr>
      <w:r>
        <w:rPr>
          <w:sz w:val="13"/>
          <w:szCs w:val="13"/>
        </w:rPr>
      </w:r>
    </w:p>
    <w:p>
      <w:pPr>
        <w:spacing w:before="0" w:after="0" w:line="185" w:lineRule="auto"/>
        <w:ind w:left="2291" w:right="387"/>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使用该产品前，应获取、参阅并遵循该产品“材料安全说明书”有关健康和安全方面的信息规定。参阅并遵守“材料安</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全说明书”和包装容器标牌上的所有预防措施。如果您未完全了解这些告诫和规定，或者不能严格遵守，请勿使用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该产品。在该产品的施工和干燥过程中，必须采用合适的通风和防范措施，将溶剂蒸汽浓度控制在安全限定值以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内，以防止发生中毒或缺氧的危险。采取保护措施，避免皮肤和眼睛与该产品接触(例如：手套、护目镜、面罩、</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隔离霜等)。具体安全措施应视施工方法和工作环境而定。</w:t>
      </w:r>
    </w:p>
    <w:p>
      <w:pPr>
        <w:spacing w:before="0" w:after="0" w:line="22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紧急联系电话：</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美国/加拿大</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医疗咨询电话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1-800-854-6813</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欧洲</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联系电话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191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4696111。医院及医生诊视电话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207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6359191</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R.O.W.</w:t>
      </w:r>
      <w:r>
        <w:rPr>
          <w:rFonts w:ascii="Arial Unicode MS" w:hAnsi="Arial Unicode MS" w:cs="Arial Unicode MS" w:eastAsia="Arial Unicode MS"/>
          <w:spacing w:val="-5"/>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与地区办事处联系</w:t>
      </w:r>
    </w:p>
    <w:p>
      <w:pPr>
        <w:spacing w:line="214" w:lineRule="exact" w:after="0"/>
        <w:jc w:val="left"/>
        <w:rPr>
          <w:rFonts w:ascii="Arial Unicode MS" w:hAnsi="Arial Unicode MS" w:cs="Arial Unicode MS" w:eastAsia="Arial Unicode MS"/>
          <w:sz w:val="16"/>
          <w:szCs w:val="16"/>
        </w:rPr>
        <w:sectPr>
          <w:type w:val="continuous"/>
          <w:pgSz w:w="11900" w:h="16820"/>
          <w:pgMar w:top="1040" w:bottom="1780" w:left="620" w:right="540"/>
        </w:sectPr>
      </w:pPr>
    </w:p>
    <w:p>
      <w:pPr>
        <w:spacing w:before="9" w:after="0" w:line="120" w:lineRule="exact"/>
        <w:jc w:val="left"/>
        <w:rPr>
          <w:sz w:val="12"/>
          <w:szCs w:val="12"/>
        </w:rPr>
      </w:pPr>
      <w:r>
        <w:rPr>
          <w:sz w:val="12"/>
          <w:szCs w:val="12"/>
        </w:rPr>
      </w:r>
    </w:p>
    <w:p>
      <w:pPr>
        <w:tabs>
          <w:tab w:pos="2280" w:val="left"/>
        </w:tabs>
        <w:spacing w:before="0" w:after="0" w:line="158" w:lineRule="auto"/>
        <w:ind w:left="2297" w:right="1021" w:hanging="216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限制</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喷涂大面积时，建议在点蚀或粗糙表面上刷涂一道涂层，以保证全面渗透。建议对复杂构件使用条涂法。</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Interbond</w:t>
      </w:r>
      <w:r>
        <w:rPr>
          <w:rFonts w:ascii="Arial Unicode MS" w:hAnsi="Arial Unicode MS" w:cs="Arial Unicode MS" w:eastAsia="Arial Unicode MS"/>
          <w:spacing w:val="-7"/>
          <w:w w:val="100"/>
          <w:position w:val="0"/>
          <w:sz w:val="16"/>
          <w:szCs w:val="16"/>
        </w:rPr>
        <w:t> </w:t>
      </w:r>
      <w:r>
        <w:rPr>
          <w:rFonts w:ascii="Arial Unicode MS" w:hAnsi="Arial Unicode MS" w:cs="Arial Unicode MS" w:eastAsia="Arial Unicode MS"/>
          <w:spacing w:val="0"/>
          <w:w w:val="100"/>
          <w:position w:val="0"/>
          <w:sz w:val="16"/>
          <w:szCs w:val="16"/>
        </w:rPr>
        <w:t>201</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低温级品种不适用于压载舱。</w:t>
      </w:r>
    </w:p>
    <w:p>
      <w:pPr>
        <w:spacing w:before="5" w:after="0" w:line="185" w:lineRule="auto"/>
        <w:ind w:left="2297" w:right="222"/>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当</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施工在经喷砂处理的钢材上时可达到最佳性能。</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99"/>
          <w:sz w:val="16"/>
          <w:szCs w:val="16"/>
        </w:rPr>
        <w:t>与所有环氧基料的涂料一样，Interbond</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曝露于紫外光下会出现粉化现象。</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复涂数据仅作指导之用，应视当地的气候和环境条件而定。有关特殊建议，请向贵处的国际油漆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代表咨询。</w:t>
      </w:r>
    </w:p>
    <w:p>
      <w:pPr>
        <w:spacing w:before="0" w:after="0" w:line="185" w:lineRule="auto"/>
        <w:ind w:left="2297" w:right="221"/>
        <w:jc w:val="left"/>
        <w:rPr>
          <w:rFonts w:ascii="Arial Unicode MS" w:hAnsi="Arial Unicode MS" w:cs="Arial Unicode MS" w:eastAsia="Arial Unicode MS"/>
          <w:sz w:val="16"/>
          <w:szCs w:val="16"/>
        </w:rPr>
      </w:pPr>
      <w:r>
        <w:rPr/>
        <w:pict>
          <v:group style="position:absolute;margin-left:145.850006pt;margin-top:70.008759pt;width:417.6pt;height:.1pt;mso-position-horizontal-relative:page;mso-position-vertical-relative:paragraph;z-index:-496" coordorigin="2917,1400" coordsize="8352,2">
            <v:shape style="position:absolute;left:2917;top:1400;width:8352;height:2" coordorigin="2917,1400" coordsize="8352,0" path="m2917,1400l11269,1400e" filled="f" stroked="t" strokeweight="1.5pt" strokecolor="#000000">
              <v:path arrowok="t"/>
            </v:shape>
            <w10:wrap type="none"/>
          </v:group>
        </w:pict>
      </w:r>
      <w:r>
        <w:rPr>
          <w:rFonts w:ascii="Arial Unicode MS" w:hAnsi="Arial Unicode MS" w:cs="Arial Unicode MS" w:eastAsia="Arial Unicode MS"/>
          <w:spacing w:val="0"/>
          <w:w w:val="100"/>
          <w:sz w:val="16"/>
          <w:szCs w:val="16"/>
        </w:rPr>
        <w:t>在好天气下施工。待涂表面的温度必须至少高于露点</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3°C。除非另有特殊指令，为达到最佳施工性能，在混合和施工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前，将涂料温度提升到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21-27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°C之间。未混合的涂料（在盖紧的容器中）应按该产品说明书“贮存”一节中规定的方式</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进行保护性贮存。此处提及的技术和施工数据之目的，是为制定一个涂料施工程序的总则。测试性能结果来自于受控</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的实验室环境，国际油漆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(InternationalPaint)</w:t>
      </w:r>
      <w:r>
        <w:rPr>
          <w:rFonts w:ascii="Arial Unicode MS" w:hAnsi="Arial Unicode MS" w:cs="Arial Unicode MS" w:eastAsia="Arial Unicode MS"/>
          <w:spacing w:val="-14"/>
          <w:w w:val="100"/>
          <w:sz w:val="16"/>
          <w:szCs w:val="16"/>
        </w:rPr>
        <w:t> </w:t>
      </w:r>
      <w:r>
        <w:rPr>
          <w:rFonts w:ascii="Arial Unicode MS" w:hAnsi="Arial Unicode MS" w:cs="Arial Unicode MS" w:eastAsia="Arial Unicode MS"/>
          <w:spacing w:val="0"/>
          <w:w w:val="100"/>
          <w:sz w:val="16"/>
          <w:szCs w:val="16"/>
        </w:rPr>
        <w:t>并不声称所公布的测试结果，或任何其它测试，精确代表所有现场环境</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99"/>
          <w:sz w:val="16"/>
          <w:szCs w:val="16"/>
        </w:rPr>
        <w:t>中所得到的结果。由于施工应用,</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环境和设计参数变化很大，所以在进行涂料选择、性能证实或使用时应十分小心谨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慎。</w:t>
      </w:r>
    </w:p>
    <w:p>
      <w:pPr>
        <w:spacing w:before="3" w:after="0" w:line="280" w:lineRule="exact"/>
        <w:jc w:val="left"/>
        <w:rPr>
          <w:sz w:val="28"/>
          <w:szCs w:val="28"/>
        </w:rPr>
      </w:pPr>
      <w:r>
        <w:rPr>
          <w:sz w:val="28"/>
          <w:szCs w:val="28"/>
        </w:rPr>
      </w:r>
    </w:p>
    <w:p>
      <w:pPr>
        <w:spacing w:before="0" w:after="0" w:line="280" w:lineRule="exact"/>
        <w:ind w:left="137" w:right="-20"/>
        <w:jc w:val="left"/>
        <w:rPr>
          <w:rFonts w:ascii="Arial Unicode MS" w:hAnsi="Arial Unicode MS" w:cs="Arial Unicode MS" w:eastAsia="Arial Unicode MS"/>
          <w:sz w:val="22"/>
          <w:szCs w:val="22"/>
        </w:rPr>
      </w:pPr>
      <w:r>
        <w:rPr/>
        <w:pict>
          <v:group style="position:absolute;margin-left:37.849998pt;margin-top:2.315146pt;width:522.75pt;height:64.1258pt;mso-position-horizontal-relative:page;mso-position-vertical-relative:paragraph;z-index:-495" coordorigin="757,46" coordsize="10455,1283">
            <v:shape style="position:absolute;left:757;top:46;width:10455;height:1283" coordorigin="757,46" coordsize="10455,1283" path="m757,1329l11212,1329,11212,46,757,46,757,1329xe" filled="t" fillcolor="#D2D2D2" stroked="f">
              <v:path arrowok="t"/>
              <v:fill/>
            </v:shape>
            <w10:wrap type="none"/>
          </v:group>
        </w:pict>
      </w:r>
      <w:r>
        <w:rPr/>
        <w:pict>
          <v:shape style="position:absolute;margin-left:166.5pt;margin-top:2.315146pt;width:394.1pt;height:47.175816pt;mso-position-horizontal-relative:page;mso-position-vertical-relative:paragraph;z-index:-491" type="#_x0000_t202" filled="f" stroked="f">
            <v:textbox inset="0,0,0,0">
              <w:txbxContent>
                <w:tbl>
                  <w:tblPr>
                    <w:tblW w:w="0" w:type="auto"/>
                    <w:jc w:val="left"/>
                    <w:tblLayout w:type="fixed"/>
                    <w:tblCellMar>
                      <w:top w:w="0" w:type="dxa"/>
                      <w:left w:w="0" w:type="dxa"/>
                      <w:bottom w:w="0" w:type="dxa"/>
                      <w:right w:w="0" w:type="dxa"/>
                    </w:tblCellMar>
                    <w:tblLook w:val="01E0"/>
                  </w:tblPr>
                  <w:tblGrid/>
                  <w:tr>
                    <w:trPr>
                      <w:trHeight w:val="169" w:hRule="exact"/>
                    </w:trPr>
                    <w:tc>
                      <w:tcPr>
                        <w:tcW w:w="959"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包装规格</w:t>
                        </w:r>
                        <w:r>
                          <w:rPr>
                            <w:rFonts w:ascii="Arial Unicode MS" w:hAnsi="Arial Unicode MS" w:cs="Arial Unicode MS" w:eastAsia="Arial Unicode MS"/>
                            <w:spacing w:val="0"/>
                            <w:w w:val="100"/>
                            <w:position w:val="0"/>
                            <w:sz w:val="14"/>
                            <w:szCs w:val="14"/>
                          </w:rPr>
                        </w: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73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甲组份</w:t>
                        </w:r>
                        <w:r>
                          <w:rPr>
                            <w:rFonts w:ascii="Arial Unicode MS" w:hAnsi="Arial Unicode MS" w:cs="Arial Unicode MS" w:eastAsia="Arial Unicode MS"/>
                            <w:spacing w:val="0"/>
                            <w:w w:val="100"/>
                            <w:position w:val="0"/>
                            <w:sz w:val="14"/>
                            <w:szCs w:val="14"/>
                          </w:rPr>
                        </w:r>
                      </w:p>
                    </w:tc>
                    <w:tc>
                      <w:tcPr>
                        <w:tcW w:w="898" w:type="dxa"/>
                        <w:tcBorders>
                          <w:top w:val="nil" w:sz="6" w:space="0" w:color="auto"/>
                          <w:left w:val="nil" w:sz="6" w:space="0" w:color="auto"/>
                          <w:bottom w:val="nil" w:sz="6" w:space="0" w:color="auto"/>
                          <w:right w:val="nil" w:sz="6" w:space="0" w:color="auto"/>
                        </w:tcBorders>
                        <w:shd w:val="clear" w:color="auto" w:fill="D2D2D2"/>
                      </w:tcPr>
                      <w:p>
                        <w:pP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66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乙组份</w:t>
                        </w:r>
                        <w:r>
                          <w:rPr>
                            <w:rFonts w:ascii="Arial Unicode MS" w:hAnsi="Arial Unicode MS" w:cs="Arial Unicode MS" w:eastAsia="Arial Unicode MS"/>
                            <w:spacing w:val="0"/>
                            <w:w w:val="100"/>
                            <w:position w:val="0"/>
                            <w:sz w:val="14"/>
                            <w:szCs w:val="14"/>
                          </w:rPr>
                        </w:r>
                      </w:p>
                    </w:tc>
                    <w:tc>
                      <w:tcPr>
                        <w:tcW w:w="3700" w:type="dxa"/>
                        <w:tcBorders>
                          <w:top w:val="nil" w:sz="6" w:space="0" w:color="auto"/>
                          <w:left w:val="nil" w:sz="6" w:space="0" w:color="auto"/>
                          <w:bottom w:val="nil" w:sz="6" w:space="0" w:color="auto"/>
                          <w:right w:val="nil" w:sz="6" w:space="0" w:color="auto"/>
                        </w:tcBorders>
                        <w:shd w:val="clear" w:color="auto" w:fill="D2D2D2"/>
                      </w:tcPr>
                      <w:p>
                        <w:pPr/>
                      </w:p>
                    </w:tc>
                  </w:tr>
                  <w:tr>
                    <w:trPr>
                      <w:trHeight w:val="225" w:hRule="exact"/>
                    </w:trPr>
                    <w:tc>
                      <w:tcPr>
                        <w:tcW w:w="959" w:type="dxa"/>
                        <w:tcBorders>
                          <w:top w:val="nil" w:sz="6" w:space="0" w:color="auto"/>
                          <w:left w:val="nil" w:sz="6" w:space="0" w:color="auto"/>
                          <w:bottom w:val="nil" w:sz="6" w:space="0" w:color="auto"/>
                          <w:right w:val="nil" w:sz="6" w:space="0" w:color="auto"/>
                        </w:tcBorders>
                        <w:shd w:val="clear" w:color="auto" w:fill="D2D2D2"/>
                      </w:tcPr>
                      <w:p>
                        <w:pP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406" w:right="424"/>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体积</w:t>
                        </w:r>
                      </w:p>
                    </w:tc>
                    <w:tc>
                      <w:tcPr>
                        <w:tcW w:w="898"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1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包装</w:t>
                        </w: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359" w:right="414"/>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体积</w:t>
                        </w:r>
                      </w:p>
                    </w:tc>
                    <w:tc>
                      <w:tcPr>
                        <w:tcW w:w="3700"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11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包装</w:t>
                        </w:r>
                      </w:p>
                    </w:tc>
                  </w:tr>
                  <w:tr>
                    <w:trPr>
                      <w:trHeight w:val="550" w:hRule="exact"/>
                    </w:trPr>
                    <w:tc>
                      <w:tcPr>
                        <w:tcW w:w="959"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7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20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4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38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16</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898"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6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20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39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4</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2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3700"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12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5</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5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r>
                </w:tbl>
                <w:p>
                  <w:pPr>
                    <w:spacing w:before="0" w:after="0" w:line="240" w:lineRule="auto"/>
                    <w:jc w:val="left"/>
                  </w:pPr>
                </w:p>
              </w:txbxContent>
            </v:textbox>
            <w10:wrap type="none"/>
          </v:shape>
        </w:pict>
      </w:r>
      <w:r>
        <w:rPr>
          <w:rFonts w:ascii="Arial Unicode MS" w:hAnsi="Arial Unicode MS" w:cs="Arial Unicode MS" w:eastAsia="Arial Unicode MS"/>
          <w:spacing w:val="0"/>
          <w:w w:val="100"/>
          <w:position w:val="0"/>
          <w:sz w:val="22"/>
          <w:szCs w:val="22"/>
        </w:rPr>
        <w:t>包装规格</w:t>
      </w:r>
      <w:r>
        <w:rPr>
          <w:rFonts w:ascii="Arial Unicode MS" w:hAnsi="Arial Unicode MS" w:cs="Arial Unicode MS" w:eastAsia="Arial Unicode MS"/>
          <w:spacing w:val="0"/>
          <w:w w:val="100"/>
          <w:position w:val="0"/>
          <w:sz w:val="22"/>
          <w:szCs w:val="22"/>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5" w:after="0" w:line="200" w:lineRule="exact"/>
        <w:jc w:val="left"/>
        <w:rPr>
          <w:sz w:val="20"/>
          <w:szCs w:val="20"/>
        </w:rPr>
      </w:pPr>
      <w:r>
        <w:rPr>
          <w:sz w:val="20"/>
          <w:szCs w:val="20"/>
        </w:rPr>
      </w:r>
    </w:p>
    <w:p>
      <w:pPr>
        <w:spacing w:before="0" w:after="0" w:line="215" w:lineRule="exact"/>
        <w:ind w:left="229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99"/>
          <w:position w:val="0"/>
          <w:sz w:val="14"/>
          <w:szCs w:val="14"/>
        </w:rPr>
        <w:t>有关其它包装尺寸，请向国际油漆</w:t>
      </w:r>
      <w:r>
        <w:rPr>
          <w:rFonts w:ascii="Arial Unicode MS" w:hAnsi="Arial Unicode MS" w:cs="Arial Unicode MS" w:eastAsia="Arial Unicode MS"/>
          <w:spacing w:val="0"/>
          <w:w w:val="99"/>
          <w:position w:val="0"/>
          <w:sz w:val="14"/>
          <w:szCs w:val="14"/>
        </w:rPr>
        <w:t> </w:t>
      </w:r>
      <w:r>
        <w:rPr>
          <w:rFonts w:ascii="Arial Unicode MS" w:hAnsi="Arial Unicode MS" w:cs="Arial Unicode MS" w:eastAsia="Arial Unicode MS"/>
          <w:spacing w:val="0"/>
          <w:w w:val="100"/>
          <w:position w:val="0"/>
          <w:sz w:val="14"/>
          <w:szCs w:val="14"/>
        </w:rPr>
        <w:t>(International</w:t>
      </w:r>
      <w:r>
        <w:rPr>
          <w:rFonts w:ascii="Arial Unicode MS" w:hAnsi="Arial Unicode MS" w:cs="Arial Unicode MS" w:eastAsia="Arial Unicode MS"/>
          <w:spacing w:val="-8"/>
          <w:w w:val="100"/>
          <w:position w:val="0"/>
          <w:sz w:val="14"/>
          <w:szCs w:val="14"/>
        </w:rPr>
        <w:t> </w:t>
      </w:r>
      <w:r>
        <w:rPr>
          <w:rFonts w:ascii="Arial Unicode MS" w:hAnsi="Arial Unicode MS" w:cs="Arial Unicode MS" w:eastAsia="Arial Unicode MS"/>
          <w:spacing w:val="0"/>
          <w:w w:val="100"/>
          <w:position w:val="0"/>
          <w:sz w:val="14"/>
          <w:szCs w:val="14"/>
        </w:rPr>
        <w:t>Paint)</w:t>
      </w:r>
      <w:r>
        <w:rPr>
          <w:rFonts w:ascii="Arial Unicode MS" w:hAnsi="Arial Unicode MS" w:cs="Arial Unicode MS" w:eastAsia="Arial Unicode MS"/>
          <w:spacing w:val="-4"/>
          <w:w w:val="100"/>
          <w:position w:val="0"/>
          <w:sz w:val="14"/>
          <w:szCs w:val="14"/>
        </w:rPr>
        <w:t> </w:t>
      </w:r>
      <w:r>
        <w:rPr>
          <w:rFonts w:ascii="Arial Unicode MS" w:hAnsi="Arial Unicode MS" w:cs="Arial Unicode MS" w:eastAsia="Arial Unicode MS"/>
          <w:spacing w:val="0"/>
          <w:w w:val="100"/>
          <w:position w:val="0"/>
          <w:sz w:val="14"/>
          <w:szCs w:val="14"/>
        </w:rPr>
        <w:t>咨询。</w:t>
      </w:r>
      <w:r>
        <w:rPr>
          <w:rFonts w:ascii="Arial Unicode MS" w:hAnsi="Arial Unicode MS" w:cs="Arial Unicode MS" w:eastAsia="Arial Unicode MS"/>
          <w:spacing w:val="0"/>
          <w:w w:val="100"/>
          <w:position w:val="0"/>
          <w:sz w:val="14"/>
          <w:szCs w:val="14"/>
        </w:rPr>
      </w:r>
    </w:p>
    <w:p>
      <w:pPr>
        <w:tabs>
          <w:tab w:pos="2740" w:val="left"/>
          <w:tab w:pos="4540" w:val="left"/>
        </w:tabs>
        <w:spacing w:before="8" w:after="0" w:line="240" w:lineRule="auto"/>
        <w:ind w:left="137" w:right="-20"/>
        <w:jc w:val="left"/>
        <w:rPr>
          <w:rFonts w:ascii="Arial Unicode MS" w:hAnsi="Arial Unicode MS" w:cs="Arial Unicode MS" w:eastAsia="Arial Unicode MS"/>
          <w:sz w:val="14"/>
          <w:szCs w:val="14"/>
        </w:rPr>
      </w:pPr>
      <w:r>
        <w:rPr/>
        <w:pict>
          <v:group style="position:absolute;margin-left:37.849998pt;margin-top:6.959191pt;width:522.75pt;height:40.8819pt;mso-position-horizontal-relative:page;mso-position-vertical-relative:paragraph;z-index:-494" coordorigin="757,139" coordsize="10455,818">
            <v:shape style="position:absolute;left:757;top:139;width:10455;height:818" coordorigin="757,139" coordsize="10455,818" path="m757,957l11212,957,11212,139,757,139,757,957xe" filled="t" fillcolor="#D2D2D2" stroked="f">
              <v:path arrowok="t"/>
              <v:fill/>
            </v:shape>
            <w10:wrap type="none"/>
          </v:group>
        </w:pict>
      </w:r>
      <w:r>
        <w:rPr>
          <w:rFonts w:ascii="Arial Unicode MS" w:hAnsi="Arial Unicode MS" w:cs="Arial Unicode MS" w:eastAsia="Arial Unicode MS"/>
          <w:spacing w:val="0"/>
          <w:w w:val="100"/>
          <w:position w:val="-6"/>
          <w:sz w:val="22"/>
          <w:szCs w:val="22"/>
        </w:rPr>
        <w:t>单位装运重量</w:t>
        <w:tab/>
      </w:r>
      <w:r>
        <w:rPr>
          <w:rFonts w:ascii="Arial Unicode MS" w:hAnsi="Arial Unicode MS" w:cs="Arial Unicode MS" w:eastAsia="Arial Unicode MS"/>
          <w:spacing w:val="0"/>
          <w:w w:val="100"/>
          <w:position w:val="-6"/>
          <w:sz w:val="22"/>
          <w:szCs w:val="22"/>
        </w:rPr>
      </w:r>
      <w:r>
        <w:rPr>
          <w:rFonts w:ascii="Arial Unicode MS" w:hAnsi="Arial Unicode MS" w:cs="Arial Unicode MS" w:eastAsia="Arial Unicode MS"/>
          <w:spacing w:val="0"/>
          <w:w w:val="100"/>
          <w:position w:val="0"/>
          <w:sz w:val="14"/>
          <w:szCs w:val="14"/>
        </w:rPr>
        <w:t>包装规格</w:t>
        <w:tab/>
      </w:r>
      <w:r>
        <w:rPr>
          <w:rFonts w:ascii="Arial Unicode MS" w:hAnsi="Arial Unicode MS" w:cs="Arial Unicode MS" w:eastAsia="Arial Unicode MS"/>
          <w:spacing w:val="0"/>
          <w:w w:val="100"/>
          <w:position w:val="0"/>
          <w:sz w:val="14"/>
          <w:szCs w:val="14"/>
        </w:rPr>
        <w:t>包装重量</w:t>
      </w:r>
    </w:p>
    <w:p>
      <w:pPr>
        <w:tabs>
          <w:tab w:pos="4500" w:val="left"/>
        </w:tabs>
        <w:spacing w:before="0" w:after="0" w:line="178" w:lineRule="exact"/>
        <w:ind w:left="278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公升</w:t>
        <w:tab/>
      </w:r>
      <w:r>
        <w:rPr>
          <w:rFonts w:ascii="Arial Unicode MS" w:hAnsi="Arial Unicode MS" w:cs="Arial Unicode MS" w:eastAsia="Arial Unicode MS"/>
          <w:spacing w:val="0"/>
          <w:w w:val="100"/>
          <w:sz w:val="14"/>
          <w:szCs w:val="14"/>
        </w:rPr>
        <w:t>28.93</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千克</w:t>
      </w:r>
    </w:p>
    <w:p>
      <w:pPr>
        <w:tabs>
          <w:tab w:pos="4660" w:val="left"/>
        </w:tabs>
        <w:spacing w:before="2" w:after="0" w:line="233" w:lineRule="exact"/>
        <w:ind w:left="275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5</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美加仑</w:t>
        <w:tab/>
      </w:r>
      <w:r>
        <w:rPr>
          <w:rFonts w:ascii="Arial Unicode MS" w:hAnsi="Arial Unicode MS" w:cs="Arial Unicode MS" w:eastAsia="Arial Unicode MS"/>
          <w:spacing w:val="0"/>
          <w:w w:val="100"/>
          <w:position w:val="-1"/>
          <w:sz w:val="14"/>
          <w:szCs w:val="14"/>
        </w:rPr>
        <w:t>59</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磅</w:t>
      </w:r>
      <w:r>
        <w:rPr>
          <w:rFonts w:ascii="Arial Unicode MS" w:hAnsi="Arial Unicode MS" w:cs="Arial Unicode MS" w:eastAsia="Arial Unicode MS"/>
          <w:spacing w:val="0"/>
          <w:w w:val="100"/>
          <w:position w:val="0"/>
          <w:sz w:val="14"/>
          <w:szCs w:val="14"/>
        </w:rPr>
      </w:r>
    </w:p>
    <w:p>
      <w:pPr>
        <w:spacing w:before="14" w:after="0" w:line="200" w:lineRule="exact"/>
        <w:jc w:val="left"/>
        <w:rPr>
          <w:sz w:val="20"/>
          <w:szCs w:val="20"/>
        </w:rPr>
      </w:pPr>
      <w:r>
        <w:rPr>
          <w:sz w:val="20"/>
          <w:szCs w:val="20"/>
        </w:rPr>
      </w:r>
    </w:p>
    <w:p>
      <w:pPr>
        <w:tabs>
          <w:tab w:pos="2320" w:val="left"/>
          <w:tab w:pos="3820" w:val="left"/>
        </w:tabs>
        <w:spacing w:before="0" w:after="0" w:line="284" w:lineRule="exact"/>
        <w:ind w:left="137" w:right="-20"/>
        <w:jc w:val="left"/>
        <w:rPr>
          <w:rFonts w:ascii="Arial Unicode MS" w:hAnsi="Arial Unicode MS" w:cs="Arial Unicode MS" w:eastAsia="Arial Unicode MS"/>
          <w:sz w:val="16"/>
          <w:szCs w:val="16"/>
        </w:rPr>
      </w:pPr>
      <w:r>
        <w:rPr/>
        <w:pict>
          <v:group style="position:absolute;margin-left:37.349998pt;margin-top:2.002024pt;width:524.5pt;height:20.9882pt;mso-position-horizontal-relative:page;mso-position-vertical-relative:paragraph;z-index:-493" coordorigin="747,40" coordsize="10490,420">
            <v:group style="position:absolute;left:757;top:50;width:10470;height:400" coordorigin="757,50" coordsize="10470,400">
              <v:shape style="position:absolute;left:757;top:50;width:10470;height:400" coordorigin="757,50" coordsize="10470,400" path="m757,450l11227,450,11227,50,757,50,757,450xe" filled="t" fillcolor="#D2D2D2" stroked="f">
                <v:path arrowok="t"/>
                <v:fill/>
              </v:shape>
            </v:group>
            <v:group style="position:absolute;left:2917;top:435;width:8280;height:2" coordorigin="2917,435" coordsize="8280,2">
              <v:shape style="position:absolute;left:2917;top:435;width:8280;height:2" coordorigin="2917,435" coordsize="8280,0" path="m2917,435l11197,435e" filled="f" stroked="t" strokeweight="1.5pt" strokecolor="#000000">
                <v:path arrowok="t"/>
              </v:shape>
            </v:group>
            <w10:wrap type="none"/>
          </v:group>
        </w:pict>
      </w:r>
      <w:r>
        <w:rPr>
          <w:rFonts w:ascii="Arial Unicode MS" w:hAnsi="Arial Unicode MS" w:cs="Arial Unicode MS" w:eastAsia="Arial Unicode MS"/>
          <w:spacing w:val="0"/>
          <w:w w:val="100"/>
          <w:position w:val="0"/>
          <w:sz w:val="22"/>
          <w:szCs w:val="22"/>
        </w:rPr>
        <w:t>贮存</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保存期限</w:t>
        <w:tab/>
      </w:r>
      <w:r>
        <w:rPr>
          <w:rFonts w:ascii="Arial Unicode MS" w:hAnsi="Arial Unicode MS" w:cs="Arial Unicode MS" w:eastAsia="Arial Unicode MS"/>
          <w:spacing w:val="0"/>
          <w:w w:val="100"/>
          <w:position w:val="4"/>
          <w:sz w:val="16"/>
          <w:szCs w:val="16"/>
        </w:rPr>
        <w:t>在</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25°C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时，最短为</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12</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个月。此后需复查。贮存于干燥遮蔽之处，远离热源及火种。</w:t>
      </w:r>
      <w:r>
        <w:rPr>
          <w:rFonts w:ascii="Arial Unicode MS" w:hAnsi="Arial Unicode MS" w:cs="Arial Unicode MS" w:eastAsia="Arial Unicode MS"/>
          <w:spacing w:val="0"/>
          <w:w w:val="100"/>
          <w:position w:val="0"/>
          <w:sz w:val="16"/>
          <w:szCs w:val="16"/>
        </w:rPr>
      </w:r>
    </w:p>
    <w:p>
      <w:pPr>
        <w:spacing w:before="3" w:after="0" w:line="140" w:lineRule="exact"/>
        <w:jc w:val="left"/>
        <w:rPr>
          <w:sz w:val="14"/>
          <w:szCs w:val="14"/>
        </w:rPr>
      </w:pPr>
      <w:r>
        <w:rPr>
          <w:sz w:val="14"/>
          <w:szCs w:val="14"/>
        </w:rPr>
      </w:r>
    </w:p>
    <w:p>
      <w:pPr>
        <w:spacing w:before="0" w:after="0" w:line="200" w:lineRule="exact"/>
        <w:jc w:val="left"/>
        <w:rPr>
          <w:sz w:val="20"/>
          <w:szCs w:val="20"/>
        </w:rPr>
      </w:pPr>
      <w:r>
        <w:rPr>
          <w:sz w:val="20"/>
          <w:szCs w:val="20"/>
        </w:rPr>
      </w:r>
    </w:p>
    <w:p>
      <w:pPr>
        <w:spacing w:line="200" w:lineRule="exact" w:after="0"/>
        <w:jc w:val="left"/>
        <w:rPr>
          <w:sz w:val="20"/>
          <w:szCs w:val="20"/>
        </w:rPr>
        <w:sectPr>
          <w:pgSz w:w="11900" w:h="16820"/>
          <w:pgMar w:header="299" w:footer="1582" w:top="1040" w:bottom="1780" w:left="620" w:right="540"/>
        </w:sectPr>
      </w:pPr>
    </w:p>
    <w:p>
      <w:pPr>
        <w:spacing w:before="0" w:after="0" w:line="284" w:lineRule="exact"/>
        <w:ind w:left="11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全球供应情况</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咨询。</w:t>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438" w:space="840"/>
            <w:col w:w="8462"/>
          </w:cols>
        </w:sectPr>
      </w:pPr>
    </w:p>
    <w:p>
      <w:pPr>
        <w:spacing w:before="0" w:after="0" w:line="200" w:lineRule="exact"/>
        <w:jc w:val="left"/>
        <w:rPr>
          <w:sz w:val="20"/>
          <w:szCs w:val="20"/>
        </w:rPr>
      </w:pPr>
      <w:r>
        <w:rPr>
          <w:sz w:val="20"/>
          <w:szCs w:val="20"/>
        </w:rPr>
      </w:r>
    </w:p>
    <w:p>
      <w:pPr>
        <w:spacing w:line="200" w:lineRule="exact" w:after="0"/>
        <w:jc w:val="left"/>
        <w:rPr>
          <w:sz w:val="20"/>
          <w:szCs w:val="20"/>
        </w:rPr>
        <w:sectPr>
          <w:type w:val="continuous"/>
          <w:pgSz w:w="11900" w:h="16820"/>
          <w:pgMar w:top="1040" w:bottom="1780" w:left="620" w:right="540"/>
        </w:sectPr>
      </w:pPr>
    </w:p>
    <w:p>
      <w:pPr>
        <w:spacing w:before="0" w:after="0" w:line="306" w:lineRule="exact"/>
        <w:ind w:left="117" w:right="-73"/>
        <w:jc w:val="left"/>
        <w:rPr>
          <w:rFonts w:ascii="Arial Unicode MS" w:hAnsi="Arial Unicode MS" w:cs="Arial Unicode MS" w:eastAsia="Arial Unicode MS"/>
          <w:sz w:val="22"/>
          <w:szCs w:val="22"/>
        </w:rPr>
      </w:pPr>
      <w:r>
        <w:rPr/>
        <w:pict>
          <v:group style="position:absolute;margin-left:144.860001pt;margin-top:-3.425402pt;width:414pt;height:.1pt;mso-position-horizontal-relative:page;mso-position-vertical-relative:paragraph;z-index:-492" coordorigin="2897,-69" coordsize="8280,2">
            <v:shape style="position:absolute;left:2897;top:-69;width:8280;height:2" coordorigin="2897,-69" coordsize="8280,0" path="m2897,-69l11177,-69e" filled="f" stroked="t" strokeweight="1.5pt" strokecolor="#000000">
              <v:path arrowok="t"/>
            </v:shape>
            <w10:wrap type="none"/>
          </v:group>
        </w:pict>
      </w:r>
      <w:r>
        <w:rPr>
          <w:rFonts w:ascii="Arial Unicode MS" w:hAnsi="Arial Unicode MS" w:cs="Arial Unicode MS" w:eastAsia="Arial Unicode MS"/>
          <w:spacing w:val="0"/>
          <w:w w:val="100"/>
          <w:sz w:val="22"/>
          <w:szCs w:val="22"/>
        </w:rPr>
        <w:t>重要声明</w:t>
      </w:r>
    </w:p>
    <w:p>
      <w:pPr>
        <w:spacing w:before="24" w:after="0" w:line="185" w:lineRule="auto"/>
        <w:ind w:left="6" w:right="252"/>
        <w:jc w:val="left"/>
        <w:rPr>
          <w:rFonts w:ascii="Arial Unicode MS" w:hAnsi="Arial Unicode MS" w:cs="Arial Unicode MS" w:eastAsia="Arial Unicode MS"/>
          <w:sz w:val="12"/>
          <w:szCs w:val="12"/>
        </w:rPr>
      </w:pPr>
      <w:r>
        <w:rPr/>
        <w:br w:type="column"/>
      </w:r>
      <w:r>
        <w:rPr>
          <w:rFonts w:ascii="Arial Unicode MS" w:hAnsi="Arial Unicode MS" w:cs="Arial Unicode MS" w:eastAsia="Arial Unicode MS"/>
          <w:spacing w:val="0"/>
          <w:w w:val="100"/>
          <w:sz w:val="12"/>
          <w:szCs w:val="12"/>
        </w:rPr>
        <w:t>该产品说明书中所提供的资料并非详尽无遗，任何人因任何原因，未首先经我们书面确认而使用本说明书特别推荐以外的任何产品，则自行承担产品对其预</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期目的适用性这一风险。虽然我们竭力保证我们对产品所提供的所有建议(无论在本说明书中或以其它方式提供的)均正确无误，但我们无法控制底材的质量</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或状况或影响该产品施工和使用的多种因素。因此，除非我们特地书面同意这种做法，否则我们对于所产生的任何产品性能问题不负责任，或因使用产品而</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导致的损失或损坏在法律允许的最大范围内概不负责。</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所有供应的产品及提供的技术指导隶属于我们的标准销售条款和条件。您应获取本文件的副本并仔</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细阅读。该产品说明书所包含资料将根据经验及我们不断开发产品的政策随时进行修改。</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在使用产品前，与当地“国际油漆代表”一起检查所持产品说明书为</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最新版本是用户的职责。</w:t>
      </w:r>
    </w:p>
    <w:p>
      <w:pPr>
        <w:spacing w:before="1" w:after="0" w:line="120" w:lineRule="exact"/>
        <w:jc w:val="left"/>
        <w:rPr>
          <w:sz w:val="12"/>
          <w:szCs w:val="12"/>
        </w:rPr>
      </w:pPr>
      <w:r>
        <w:rPr>
          <w:sz w:val="12"/>
          <w:szCs w:val="12"/>
        </w:rPr>
      </w:r>
    </w:p>
    <w:p>
      <w:pPr>
        <w:spacing w:before="0" w:after="0" w:line="240" w:lineRule="auto"/>
        <w:ind w:right="-20"/>
        <w:jc w:val="left"/>
        <w:rPr>
          <w:rFonts w:ascii="Arial Unicode MS" w:hAnsi="Arial Unicode MS" w:cs="Arial Unicode MS" w:eastAsia="Arial Unicode MS"/>
          <w:sz w:val="12"/>
          <w:szCs w:val="12"/>
        </w:rPr>
      </w:pPr>
      <w:r>
        <w:rPr/>
        <w:pict>
          <v:shape style="width:58.54pt;height:7pt;mso-position-horizontal-relative:char;mso-position-vertical-relative:line" type="#_x0000_t75">
            <v:imagedata r:id="rId8" o:title=""/>
          </v:shape>
        </w:pict>
      </w:r>
      <w:r>
        <w:rPr>
          <w:rFonts w:ascii="Arial Unicode MS" w:hAnsi="Arial Unicode MS" w:cs="Arial Unicode MS" w:eastAsia="Arial Unicode MS"/>
          <w:spacing w:val="0"/>
          <w:w w:val="100"/>
          <w:position w:val="0"/>
          <w:sz w:val="12"/>
          <w:szCs w:val="12"/>
        </w:rPr>
        <w:t>以及所有本产品说明书中提到的产品名称均为AkzoNobel（阿克苏诺贝尔）之商标或已许可给AkzoNobel（阿克苏诺贝尔）。</w:t>
      </w:r>
      <w:r>
        <w:rPr>
          <w:rFonts w:ascii="Arial Unicode MS" w:hAnsi="Arial Unicode MS" w:cs="Arial Unicode MS" w:eastAsia="Arial Unicode MS"/>
          <w:spacing w:val="0"/>
          <w:w w:val="100"/>
          <w:position w:val="0"/>
          <w:sz w:val="12"/>
          <w:szCs w:val="12"/>
        </w:rPr>
      </w:r>
    </w:p>
    <w:p>
      <w:pPr>
        <w:spacing w:before="9" w:after="0" w:line="110" w:lineRule="exact"/>
        <w:jc w:val="left"/>
        <w:rPr>
          <w:sz w:val="11"/>
          <w:szCs w:val="11"/>
        </w:rPr>
      </w:pPr>
      <w:r>
        <w:rPr>
          <w:sz w:val="11"/>
          <w:szCs w:val="11"/>
        </w:rPr>
      </w:r>
    </w:p>
    <w:p>
      <w:pPr>
        <w:spacing w:before="0" w:after="0" w:line="240" w:lineRule="auto"/>
        <w:ind w:left="6" w:right="-20"/>
        <w:jc w:val="left"/>
        <w:rPr>
          <w:rFonts w:ascii="Arial" w:hAnsi="Arial" w:cs="Arial" w:eastAsia="Arial"/>
          <w:sz w:val="12"/>
          <w:szCs w:val="12"/>
        </w:rPr>
      </w:pPr>
      <w:r>
        <w:rPr>
          <w:rFonts w:ascii="Arial" w:hAnsi="Arial" w:cs="Arial" w:eastAsia="Arial"/>
          <w:b/>
          <w:bCs/>
          <w:spacing w:val="0"/>
          <w:w w:val="100"/>
          <w:sz w:val="12"/>
          <w:szCs w:val="12"/>
        </w:rPr>
        <w:t>©</w:t>
      </w:r>
      <w:r>
        <w:rPr>
          <w:rFonts w:ascii="Arial" w:hAnsi="Arial" w:cs="Arial" w:eastAsia="Arial"/>
          <w:b/>
          <w:bCs/>
          <w:spacing w:val="-1"/>
          <w:w w:val="100"/>
          <w:sz w:val="12"/>
          <w:szCs w:val="12"/>
        </w:rPr>
        <w:t> </w:t>
      </w:r>
      <w:r>
        <w:rPr>
          <w:rFonts w:ascii="Arial" w:hAnsi="Arial" w:cs="Arial" w:eastAsia="Arial"/>
          <w:b/>
          <w:bCs/>
          <w:spacing w:val="0"/>
          <w:w w:val="100"/>
          <w:sz w:val="12"/>
          <w:szCs w:val="12"/>
        </w:rPr>
        <w:t>AkzoNobel,</w:t>
      </w:r>
      <w:r>
        <w:rPr>
          <w:rFonts w:ascii="Arial" w:hAnsi="Arial" w:cs="Arial" w:eastAsia="Arial"/>
          <w:b/>
          <w:bCs/>
          <w:spacing w:val="-8"/>
          <w:w w:val="100"/>
          <w:sz w:val="12"/>
          <w:szCs w:val="12"/>
        </w:rPr>
        <w:t> </w:t>
      </w:r>
      <w:r>
        <w:rPr>
          <w:rFonts w:ascii="Arial" w:hAnsi="Arial" w:cs="Arial" w:eastAsia="Arial"/>
          <w:b/>
          <w:bCs/>
          <w:spacing w:val="0"/>
          <w:w w:val="100"/>
          <w:sz w:val="12"/>
          <w:szCs w:val="12"/>
        </w:rPr>
        <w:t>2009</w:t>
      </w:r>
      <w:r>
        <w:rPr>
          <w:rFonts w:ascii="Arial" w:hAnsi="Arial" w:cs="Arial" w:eastAsia="Arial"/>
          <w:spacing w:val="0"/>
          <w:w w:val="100"/>
          <w:sz w:val="12"/>
          <w:szCs w:val="12"/>
        </w:rPr>
      </w:r>
    </w:p>
    <w:p>
      <w:pPr>
        <w:spacing w:before="27" w:after="0" w:line="240" w:lineRule="auto"/>
        <w:ind w:left="20" w:right="-20"/>
        <w:jc w:val="left"/>
        <w:rPr>
          <w:rFonts w:ascii="Arial" w:hAnsi="Arial" w:cs="Arial" w:eastAsia="Arial"/>
          <w:sz w:val="18"/>
          <w:szCs w:val="18"/>
        </w:rPr>
      </w:pPr>
      <w:r>
        <w:rPr>
          <w:rFonts w:ascii="Arial" w:hAnsi="Arial" w:cs="Arial" w:eastAsia="Arial"/>
          <w:color w:val="0000FF"/>
          <w:sz w:val="18"/>
          <w:szCs w:val="18"/>
        </w:rPr>
      </w:r>
      <w:hyperlink r:id="rId9">
        <w:r>
          <w:rPr>
            <w:rFonts w:ascii="Arial" w:hAnsi="Arial" w:cs="Arial" w:eastAsia="Arial"/>
            <w:color w:val="0000FF"/>
            <w:spacing w:val="0"/>
            <w:w w:val="100"/>
            <w:sz w:val="18"/>
            <w:szCs w:val="18"/>
            <w:u w:val="single" w:color="0000FF"/>
          </w:rPr>
          <w:t>www.international-marine.com</w:t>
        </w:r>
        <w:r>
          <w:rPr>
            <w:rFonts w:ascii="Arial" w:hAnsi="Arial" w:cs="Arial" w:eastAsia="Arial"/>
            <w:color w:val="0000FF"/>
            <w:spacing w:val="0"/>
            <w:w w:val="100"/>
            <w:sz w:val="18"/>
            <w:szCs w:val="18"/>
          </w:rPr>
        </w:r>
        <w:r>
          <w:rPr>
            <w:rFonts w:ascii="Arial" w:hAnsi="Arial" w:cs="Arial" w:eastAsia="Arial"/>
            <w:color w:val="000000"/>
            <w:spacing w:val="0"/>
            <w:w w:val="100"/>
            <w:sz w:val="18"/>
            <w:szCs w:val="18"/>
          </w:rPr>
        </w:r>
      </w:hyperlink>
    </w:p>
    <w:sectPr>
      <w:type w:val="continuous"/>
      <w:pgSz w:w="11900" w:h="16820"/>
      <w:pgMar w:top="1040" w:bottom="1780" w:left="620" w:right="540"/>
      <w:cols w:num="2" w:equalWidth="0">
        <w:col w:w="998" w:space="1274"/>
        <w:col w:w="846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498.23999pt;margin-top:751.900024pt;width:60.22pt;height:72pt;mso-position-horizontal-relative:page;mso-position-vertical-relative:page;z-index:-502" type="#_x0000_t75">
          <v:imagedata r:id="rId1" o:title=""/>
        </v:shape>
      </w:pict>
    </w:r>
    <w:r>
      <w:rPr/>
      <w:pict>
        <v:group style="position:absolute;margin-left:36.860001pt;margin-top:780.25pt;width:455.53pt;height:.1pt;mso-position-horizontal-relative:page;mso-position-vertical-relative:page;z-index:-501" coordorigin="737,15605" coordsize="9111,2">
          <v:shape style="position:absolute;left:737;top:15605;width:9111;height:2" coordorigin="737,15605" coordsize="9111,0" path="m737,15605l9848,15605e" filled="f" stroked="t" strokeweight=".5pt" strokecolor="#A9A9A9">
            <v:path arrowok="t"/>
          </v:shape>
          <w10:wrap type="none"/>
        </v:group>
      </w:pict>
    </w:r>
    <w:r>
      <w:rPr/>
      <w:pict>
        <v:shape style="position:absolute;margin-left:35.857868pt;margin-top:764.050842pt;width:96.309991pt;height:52.800713pt;mso-position-horizontal-relative:page;mso-position-vertical-relative:page;z-index:-500" type="#_x0000_t202" filled="f" stroked="f">
          <v:textbox inset="0,0,0,0">
            <w:txbxContent>
              <w:p>
                <w:pPr>
                  <w:spacing w:before="0" w:after="0" w:line="265" w:lineRule="exact"/>
                  <w:ind w:left="40" w:right="-56"/>
                  <w:jc w:val="left"/>
                  <w:rPr>
                    <w:rFonts w:ascii="Arial" w:hAnsi="Arial" w:cs="Arial" w:eastAsia="Arial"/>
                    <w:sz w:val="24"/>
                    <w:szCs w:val="24"/>
                  </w:rPr>
                </w:pPr>
                <w:r>
                  <w:rPr>
                    <w:rFonts w:ascii="Arial" w:hAnsi="Arial" w:cs="Arial" w:eastAsia="Arial"/>
                    <w:b/>
                    <w:bCs/>
                    <w:color w:val="7F7F7F"/>
                    <w:spacing w:val="0"/>
                    <w:w w:val="100"/>
                    <w:sz w:val="24"/>
                    <w:szCs w:val="24"/>
                  </w:rPr>
                  <w:t>Marine</w:t>
                </w:r>
                <w:r>
                  <w:rPr>
                    <w:rFonts w:ascii="Arial" w:hAnsi="Arial" w:cs="Arial" w:eastAsia="Arial"/>
                    <w:b/>
                    <w:bCs/>
                    <w:color w:val="7F7F7F"/>
                    <w:spacing w:val="-1"/>
                    <w:w w:val="100"/>
                    <w:sz w:val="24"/>
                    <w:szCs w:val="24"/>
                  </w:rPr>
                  <w:t> </w:t>
                </w:r>
                <w:r>
                  <w:rPr>
                    <w:rFonts w:ascii="Arial" w:hAnsi="Arial" w:cs="Arial" w:eastAsia="Arial"/>
                    <w:b/>
                    <w:bCs/>
                    <w:color w:val="7F7F7F"/>
                    <w:spacing w:val="0"/>
                    <w:w w:val="100"/>
                    <w:sz w:val="24"/>
                    <w:szCs w:val="24"/>
                  </w:rPr>
                  <w:t>Coatings</w:t>
                </w:r>
                <w:r>
                  <w:rPr>
                    <w:rFonts w:ascii="Arial" w:hAnsi="Arial" w:cs="Arial" w:eastAsia="Arial"/>
                    <w:color w:val="000000"/>
                    <w:spacing w:val="0"/>
                    <w:w w:val="100"/>
                    <w:sz w:val="24"/>
                    <w:szCs w:val="24"/>
                  </w:rPr>
                </w:r>
              </w:p>
              <w:p>
                <w:pPr>
                  <w:spacing w:before="3" w:after="0" w:line="100" w:lineRule="exact"/>
                  <w:jc w:val="left"/>
                  <w:rPr>
                    <w:sz w:val="10"/>
                    <w:szCs w:val="10"/>
                  </w:rPr>
                </w:pPr>
                <w:r>
                  <w:rPr>
                    <w:sz w:val="10"/>
                    <w:szCs w:val="10"/>
                  </w:rPr>
                </w:r>
              </w:p>
              <w:p>
                <w:pPr>
                  <w:spacing w:before="0" w:after="0" w:line="222" w:lineRule="auto"/>
                  <w:ind w:left="20" w:right="604"/>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第</w:t>
                </w:r>
                <w:r>
                  <w:rPr>
                    <w:rFonts w:ascii="Arial Unicode MS" w:hAnsi="Arial Unicode MS" w:cs="Arial Unicode MS" w:eastAsia="Arial Unicode MS"/>
                    <w:spacing w:val="0"/>
                    <w:w w:val="100"/>
                    <w:sz w:val="14"/>
                    <w:szCs w:val="14"/>
                  </w:rPr>
                  <w:t> </w:t>
                </w:r>
                <w:r>
                  <w:rPr/>
                  <w:fldChar w:fldCharType="begin"/>
                </w:r>
                <w:r>
                  <w:rPr>
                    <w:rFonts w:ascii="Arial Unicode MS" w:hAnsi="Arial Unicode MS" w:cs="Arial Unicode MS" w:eastAsia="Arial Unicode MS"/>
                    <w:spacing w:val="0"/>
                    <w:w w:val="100"/>
                    <w:sz w:val="14"/>
                    <w:szCs w:val="14"/>
                  </w:rPr>
                  <w:instrText> PAGE </w:instrText>
                </w:r>
                <w:r>
                  <w:rPr/>
                  <w:fldChar w:fldCharType="separate"/>
                </w:r>
                <w:r>
                  <w:rPr/>
                  <w:t>1</w:t>
                </w:r>
                <w:r>
                  <w:rPr/>
                  <w:fldChar w:fldCharType="end"/>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页，共</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发行日期：2009/7/7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资料来源430</w:t>
                </w:r>
              </w:p>
            </w:txbxContent>
          </v:textbox>
          <w10:wrap type="none"/>
        </v:shape>
      </w:pict>
    </w:r>
    <w:r>
      <w:rPr>
        <w:sz w:val="20"/>
        <w:szCs w:val="20"/>
      </w:rPr>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504" type="#_x0000_t75">
          <v:imagedata r:id="rId1" o:title=""/>
        </v:shape>
      </w:pict>
    </w:r>
    <w:r>
      <w:rPr/>
      <w:pict>
        <v:shapetype id="_x0000_t202" o:spt="202" coordsize="21600,21600" path="m,l,21600r21600,l21600,xe">
          <v:stroke joinstyle="miter"/>
          <v:path gradientshapeok="t" o:connecttype="rect"/>
        </v:shapetype>
        <v:shape style="position:absolute;margin-left:409.125397pt;margin-top:13.964228pt;width:154.463603pt;height:39.970127pt;mso-position-horizontal-relative:page;mso-position-vertical-relative:page;z-index:-503"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Interbond</w:t>
                </w:r>
                <w:r>
                  <w:rPr>
                    <w:rFonts w:ascii="Arial Unicode MS" w:hAnsi="Arial Unicode MS" w:cs="Arial Unicode MS" w:eastAsia="Arial Unicode MS"/>
                    <w:spacing w:val="-20"/>
                    <w:w w:val="100"/>
                    <w:position w:val="2"/>
                    <w:sz w:val="48"/>
                    <w:szCs w:val="48"/>
                  </w:rPr>
                  <w:t> </w:t>
                </w:r>
                <w:r>
                  <w:rPr>
                    <w:rFonts w:ascii="Arial Unicode MS" w:hAnsi="Arial Unicode MS" w:cs="Arial Unicode MS" w:eastAsia="Arial Unicode MS"/>
                    <w:spacing w:val="0"/>
                    <w:w w:val="100"/>
                    <w:position w:val="2"/>
                    <w:sz w:val="48"/>
                    <w:szCs w:val="48"/>
                  </w:rPr>
                  <w:t>201</w:t>
                </w:r>
                <w:r>
                  <w:rPr>
                    <w:rFonts w:ascii="Arial Unicode MS" w:hAnsi="Arial Unicode MS" w:cs="Arial Unicode MS" w:eastAsia="Arial Unicode MS"/>
                    <w:spacing w:val="0"/>
                    <w:w w:val="100"/>
                    <w:position w:val="0"/>
                    <w:sz w:val="48"/>
                    <w:szCs w:val="48"/>
                  </w:rPr>
                </w:r>
              </w:p>
              <w:p>
                <w:pPr>
                  <w:spacing w:before="0" w:after="0" w:line="262" w:lineRule="exact"/>
                  <w:ind w:left="1688"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环氧底漆/面漆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499" type="#_x0000_t75">
          <v:imagedata r:id="rId1" o:title=""/>
        </v:shape>
      </w:pict>
    </w:r>
    <w:r>
      <w:rPr/>
      <w:pict>
        <v:shape style="position:absolute;margin-left:409.125397pt;margin-top:13.964228pt;width:154.463603pt;height:39.970127pt;mso-position-horizontal-relative:page;mso-position-vertical-relative:page;z-index:-498"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Interbond</w:t>
                </w:r>
                <w:r>
                  <w:rPr>
                    <w:rFonts w:ascii="Arial Unicode MS" w:hAnsi="Arial Unicode MS" w:cs="Arial Unicode MS" w:eastAsia="Arial Unicode MS"/>
                    <w:spacing w:val="-20"/>
                    <w:w w:val="100"/>
                    <w:position w:val="2"/>
                    <w:sz w:val="48"/>
                    <w:szCs w:val="48"/>
                  </w:rPr>
                  <w:t> </w:t>
                </w:r>
                <w:r>
                  <w:rPr>
                    <w:rFonts w:ascii="Arial Unicode MS" w:hAnsi="Arial Unicode MS" w:cs="Arial Unicode MS" w:eastAsia="Arial Unicode MS"/>
                    <w:spacing w:val="0"/>
                    <w:w w:val="100"/>
                    <w:position w:val="2"/>
                    <w:sz w:val="48"/>
                    <w:szCs w:val="48"/>
                  </w:rPr>
                  <w:t>201</w:t>
                </w:r>
                <w:r>
                  <w:rPr>
                    <w:rFonts w:ascii="Arial Unicode MS" w:hAnsi="Arial Unicode MS" w:cs="Arial Unicode MS" w:eastAsia="Arial Unicode MS"/>
                    <w:spacing w:val="0"/>
                    <w:w w:val="100"/>
                    <w:position w:val="0"/>
                    <w:sz w:val="48"/>
                    <w:szCs w:val="48"/>
                  </w:rPr>
                </w:r>
              </w:p>
              <w:p>
                <w:pPr>
                  <w:spacing w:before="0" w:after="0" w:line="262" w:lineRule="exact"/>
                  <w:ind w:left="1688"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环氧底漆/面漆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0" w:type="dxa"/>
        <w:bottom w:w="0" w:type="dxa"/>
        <w:right w:w="0" w:type="dxa"/>
      </w:tblCellMar>
    </w:tblPr>
  </w:style>
  <w:style w:type="numbering" w:default="1" w:styleId="NoList">
    <w:name w:val="No List"/>
    <w:uiPriority w:val="99"/>
    <w:semiHidden/>
    <w:unhideWhenUsed/>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image" Target="media/image4.jpg"/><Relationship Id="rId9" Type="http://schemas.openxmlformats.org/officeDocument/2006/relationships/hyperlink" Target="http://www.international-marin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PdfGen</dc:creator>
  <cp:keywords>Chinese Simplified Marine Coatings Interbond 201  -  KD Series 100 环氧底漆/面漆 Interbond 1 07/07/2009 Interbond 201 I 430 chi-s</cp:keywords>
  <dc:subject>Technical Datasheet</dc:subject>
  <dc:title>Interbond 201</dc:title>
  <dcterms:created xsi:type="dcterms:W3CDTF">2015-07-27T15:49:04Z</dcterms:created>
  <dcterms:modified xsi:type="dcterms:W3CDTF">2015-07-27T15:49:04Z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2009-07-08T00:00:00Z</vt:filetime>
  </property>
  <property fmtid="{D5CDD505-2E9C-101B-9397-08002B2CF9AE}" pid="3" name="LastSaved">
    <vt:filetime>2015-07-27T00:00:00Z</vt:filetime>
  </property>
</Properties>
</file>